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11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R4-2409601</w:t>
      </w:r>
      <w:bookmarkStart w:id="420" w:name="_GoBack"/>
      <w:bookmarkEnd w:id="420"/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Fukuoka City, Fukuoka , Japan, 20th – 24th May, 2024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10.8.2.1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 Sanechips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RF requirement for Intra-band contiguous CA of ATG UE in Rel-19 </w:t>
      </w:r>
      <w:r>
        <w:rPr>
          <w:rFonts w:hint="eastAsia" w:ascii="Arial" w:hAnsi="Arial" w:cs="Arial"/>
          <w:b/>
          <w:sz w:val="24"/>
          <w:szCs w:val="24"/>
          <w:lang w:val="en-US" w:eastAsia="en-US"/>
        </w:rPr>
        <w:t xml:space="preserve"> 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pStyle w:val="57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tabs>
          <w:tab w:val="left" w:pos="2127"/>
        </w:tabs>
        <w:spacing w:after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the RAN#103 meeting, n</w:t>
      </w:r>
      <w:r>
        <w:rPr>
          <w:rFonts w:hint="eastAsia"/>
          <w:sz w:val="20"/>
          <w:szCs w:val="20"/>
          <w:lang w:val="en-US" w:eastAsia="zh-CN"/>
        </w:rPr>
        <w:t>ew WID on Enhancements for Air-to-ground network for NR</w:t>
      </w:r>
      <w:r>
        <w:rPr>
          <w:rFonts w:hint="eastAsia"/>
          <w:lang w:val="en-US" w:eastAsia="zh-CN"/>
        </w:rPr>
        <w:t xml:space="preserve"> has been approved and 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expected to start the normative work from this April meeting. In last RAN4 meeting, we have some initial discussions for ATG UE supporting intra-band CA. In this contribution, we would like to share some further views on these remaining issues. 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>
            <w:pPr>
              <w:pStyle w:val="3"/>
              <w:suppressLineNumbers w:val="0"/>
              <w:spacing w:beforeAutospacing="0" w:afterAutospacing="0"/>
              <w:ind w:right="0"/>
              <w:rPr>
                <w:rFonts w:hint="default"/>
              </w:rPr>
            </w:pPr>
            <w:r>
              <w:rPr>
                <w:rFonts w:hint="eastAsia"/>
              </w:rPr>
              <w:t>Common requirements</w:t>
            </w: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color w:val="0070C0"/>
                <w:u w:val="single"/>
                <w:lang w:val="en-US" w:eastAsia="zh-CN"/>
              </w:rPr>
            </w:pPr>
            <w:r>
              <w:rPr>
                <w:rFonts w:hint="default"/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val="en-US" w:eastAsia="zh-CN"/>
              </w:rPr>
              <w:t>3</w:t>
            </w:r>
            <w:r>
              <w:rPr>
                <w:rFonts w:hint="default"/>
                <w:b/>
                <w:color w:val="0070C0"/>
                <w:u w:val="single"/>
                <w:lang w:eastAsia="ko-KR"/>
              </w:rPr>
              <w:t>-1</w:t>
            </w:r>
            <w:r>
              <w:rPr>
                <w:rFonts w:hint="eastAsia"/>
                <w:b/>
                <w:color w:val="0070C0"/>
                <w:u w:val="single"/>
                <w:lang w:val="en-US" w:eastAsia="zh-CN"/>
              </w:rPr>
              <w:t>-1</w:t>
            </w:r>
            <w:r>
              <w:rPr>
                <w:rFonts w:hint="default"/>
                <w:b/>
                <w:color w:val="0070C0"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color w:val="0070C0"/>
                <w:u w:val="single"/>
                <w:lang w:val="en-US" w:eastAsia="zh-CN"/>
              </w:rPr>
              <w:t>whether maximum output power is declared per single carrier or per band(aggregated across all CCs) for inter-band CA and intra-band contiguous CA</w:t>
            </w:r>
          </w:p>
          <w:p>
            <w:pPr>
              <w:pStyle w:val="36"/>
              <w:keepNext w:val="0"/>
              <w:keepLines w:val="0"/>
              <w:suppressLineNumbers w:val="0"/>
              <w:overflowPunct/>
              <w:autoSpaceDE/>
              <w:autoSpaceDN/>
              <w:adjustRightInd/>
              <w:spacing w:before="0" w:beforeAutospacing="0" w:after="120" w:afterAutospacing="0"/>
              <w:ind w:left="0" w:right="0" w:firstLine="0" w:firstLineChars="0"/>
              <w:textAlignment w:val="auto"/>
              <w:rPr>
                <w:rFonts w:hint="default" w:eastAsia="宋体"/>
                <w:iCs/>
                <w:lang w:eastAsia="zh-CN"/>
              </w:rPr>
            </w:pPr>
            <w:r>
              <w:rPr>
                <w:rFonts w:hint="eastAsia" w:eastAsia="宋体"/>
                <w:iCs/>
                <w:lang w:eastAsia="zh-CN"/>
              </w:rPr>
              <w:t>A</w:t>
            </w:r>
            <w:r>
              <w:rPr>
                <w:rFonts w:hint="default" w:eastAsia="宋体"/>
                <w:iCs/>
                <w:lang w:eastAsia="zh-CN"/>
              </w:rPr>
              <w:t>greement:</w:t>
            </w:r>
          </w:p>
          <w:p>
            <w:pPr>
              <w:pStyle w:val="36"/>
              <w:keepNext w:val="0"/>
              <w:keepLines w:val="0"/>
              <w:numPr>
                <w:ilvl w:val="0"/>
                <w:numId w:val="2"/>
              </w:numPr>
              <w:suppressLineNumbers w:val="0"/>
              <w:overflowPunct/>
              <w:autoSpaceDE/>
              <w:autoSpaceDN/>
              <w:adjustRightInd/>
              <w:spacing w:before="0" w:beforeAutospacing="0" w:after="120" w:afterAutospacing="0"/>
              <w:ind w:right="0" w:firstLineChars="0"/>
              <w:textAlignment w:val="auto"/>
              <w:rPr>
                <w:rFonts w:hint="default" w:eastAsia="宋体"/>
                <w:iCs/>
                <w:lang w:eastAsia="zh-CN"/>
              </w:rPr>
            </w:pPr>
            <w:r>
              <w:rPr>
                <w:rFonts w:hint="default" w:eastAsia="宋体"/>
                <w:iCs/>
                <w:lang w:eastAsia="zh-CN"/>
              </w:rPr>
              <w:t>Reuse the existing Rel-18 capability for MOP for ATG UE in Rel-19</w:t>
            </w: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color w:val="0070C0"/>
                <w:u w:val="single"/>
                <w:lang w:val="en-US" w:eastAsia="zh-CN"/>
              </w:rPr>
            </w:pPr>
            <w:r>
              <w:rPr>
                <w:rFonts w:hint="default"/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val="en-US" w:eastAsia="zh-CN"/>
              </w:rPr>
              <w:t>3</w:t>
            </w:r>
            <w:r>
              <w:rPr>
                <w:rFonts w:hint="default"/>
                <w:b/>
                <w:color w:val="0070C0"/>
                <w:u w:val="single"/>
                <w:lang w:eastAsia="ko-KR"/>
              </w:rPr>
              <w:t>-1</w:t>
            </w:r>
            <w:r>
              <w:rPr>
                <w:rFonts w:hint="eastAsia"/>
                <w:b/>
                <w:color w:val="0070C0"/>
                <w:u w:val="single"/>
                <w:lang w:val="en-US" w:eastAsia="zh-CN"/>
              </w:rPr>
              <w:t>-2</w:t>
            </w:r>
            <w:r>
              <w:rPr>
                <w:rFonts w:hint="default"/>
                <w:b/>
                <w:color w:val="0070C0"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color w:val="0070C0"/>
                <w:u w:val="single"/>
                <w:lang w:val="en-US" w:eastAsia="zh-CN"/>
              </w:rPr>
              <w:t>Tx RF requirements for intra-band contigous CA with one UL carrier and inter-band CA with one UL carrier.</w:t>
            </w:r>
          </w:p>
          <w:p>
            <w:pPr>
              <w:pStyle w:val="36"/>
              <w:keepNext w:val="0"/>
              <w:keepLines w:val="0"/>
              <w:suppressLineNumbers w:val="0"/>
              <w:overflowPunct/>
              <w:autoSpaceDE/>
              <w:autoSpaceDN/>
              <w:adjustRightInd/>
              <w:spacing w:before="0" w:beforeAutospacing="0" w:after="120" w:afterAutospacing="0"/>
              <w:ind w:left="0" w:right="0" w:firstLine="0" w:firstLineChars="0"/>
              <w:textAlignment w:val="auto"/>
              <w:rPr>
                <w:rFonts w:hint="default" w:eastAsia="宋体"/>
                <w:iCs/>
                <w:lang w:eastAsia="zh-CN"/>
              </w:rPr>
            </w:pPr>
            <w:r>
              <w:rPr>
                <w:rFonts w:hint="eastAsia" w:eastAsia="宋体"/>
                <w:szCs w:val="24"/>
                <w:lang w:eastAsia="zh-CN"/>
              </w:rPr>
              <w:t>A</w:t>
            </w:r>
            <w:r>
              <w:rPr>
                <w:rFonts w:hint="default" w:eastAsia="宋体"/>
                <w:szCs w:val="24"/>
                <w:lang w:eastAsia="zh-CN"/>
              </w:rPr>
              <w:t xml:space="preserve">greement: </w:t>
            </w:r>
          </w:p>
          <w:p>
            <w:pPr>
              <w:pStyle w:val="36"/>
              <w:keepNext w:val="0"/>
              <w:keepLines w:val="0"/>
              <w:numPr>
                <w:ilvl w:val="0"/>
                <w:numId w:val="2"/>
              </w:numPr>
              <w:suppressLineNumbers w:val="0"/>
              <w:overflowPunct/>
              <w:autoSpaceDE/>
              <w:autoSpaceDN/>
              <w:adjustRightInd/>
              <w:spacing w:before="0" w:beforeAutospacing="0" w:after="120" w:afterAutospacing="0"/>
              <w:ind w:right="0" w:firstLineChars="0"/>
              <w:textAlignment w:val="auto"/>
              <w:rPr>
                <w:rFonts w:hint="default" w:eastAsia="宋体"/>
                <w:szCs w:val="24"/>
                <w:lang w:eastAsia="zh-CN"/>
              </w:rPr>
            </w:pPr>
            <w:bookmarkStart w:id="1" w:name="OLE_LINK1"/>
            <w:r>
              <w:rPr>
                <w:rFonts w:hint="eastAsia" w:eastAsia="宋体"/>
                <w:szCs w:val="24"/>
                <w:lang w:eastAsia="zh-CN"/>
              </w:rPr>
              <w:t>R</w:t>
            </w:r>
            <w:r>
              <w:rPr>
                <w:rFonts w:hint="default" w:eastAsia="宋体"/>
                <w:szCs w:val="24"/>
                <w:lang w:eastAsia="zh-CN"/>
              </w:rPr>
              <w:t xml:space="preserve">euse Tx RF requirements for ATG UE single CC </w:t>
            </w:r>
            <w:r>
              <w:rPr>
                <w:rFonts w:hint="eastAsia" w:eastAsia="宋体"/>
                <w:szCs w:val="24"/>
                <w:lang w:eastAsia="zh-CN"/>
              </w:rPr>
              <w:t>operation</w:t>
            </w:r>
          </w:p>
          <w:bookmarkEnd w:id="1"/>
          <w:p>
            <w:pPr>
              <w:pStyle w:val="3"/>
              <w:suppressLineNumbers w:val="0"/>
              <w:spacing w:beforeAutospacing="0" w:afterAutospacing="0"/>
              <w:ind w:right="0"/>
              <w:rPr>
                <w:rFonts w:hint="eastAsia"/>
              </w:rPr>
            </w:pPr>
            <w:r>
              <w:rPr>
                <w:rFonts w:hint="eastAsia"/>
              </w:rPr>
              <w:t>intra-band contiguous CA</w:t>
            </w: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color w:val="0070C0"/>
                <w:u w:val="single"/>
                <w:lang w:val="en-US" w:eastAsia="zh-CN"/>
              </w:rPr>
            </w:pPr>
            <w:r>
              <w:rPr>
                <w:rFonts w:hint="default"/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val="en-US" w:eastAsia="zh-CN"/>
              </w:rPr>
              <w:t>3-2</w:t>
            </w:r>
            <w:r>
              <w:rPr>
                <w:rFonts w:hint="default"/>
                <w:b/>
                <w:color w:val="0070C0"/>
                <w:u w:val="single"/>
                <w:lang w:eastAsia="ko-KR"/>
              </w:rPr>
              <w:t xml:space="preserve">-1: </w:t>
            </w:r>
            <w:r>
              <w:rPr>
                <w:rFonts w:hint="eastAsia"/>
                <w:b/>
                <w:color w:val="0070C0"/>
                <w:u w:val="single"/>
                <w:lang w:val="en-US" w:eastAsia="zh-CN"/>
              </w:rPr>
              <w:t>more clarification for contiguous CA</w:t>
            </w:r>
          </w:p>
          <w:p>
            <w:pPr>
              <w:pStyle w:val="36"/>
              <w:keepNext w:val="0"/>
              <w:keepLines w:val="0"/>
              <w:suppressLineNumbers w:val="0"/>
              <w:overflowPunct/>
              <w:autoSpaceDE/>
              <w:autoSpaceDN/>
              <w:adjustRightInd/>
              <w:spacing w:before="0" w:beforeAutospacing="0" w:after="120" w:afterAutospacing="0"/>
              <w:ind w:left="0" w:right="0" w:firstLine="0" w:firstLineChars="0"/>
              <w:textAlignment w:val="auto"/>
              <w:rPr>
                <w:rFonts w:hint="default" w:eastAsia="宋体"/>
                <w:szCs w:val="24"/>
                <w:lang w:eastAsia="zh-CN"/>
              </w:rPr>
            </w:pPr>
            <w:r>
              <w:rPr>
                <w:rFonts w:hint="eastAsia" w:eastAsia="宋体"/>
                <w:szCs w:val="24"/>
                <w:lang w:eastAsia="zh-CN"/>
              </w:rPr>
              <w:t>A</w:t>
            </w:r>
            <w:r>
              <w:rPr>
                <w:rFonts w:hint="default" w:eastAsia="宋体"/>
                <w:szCs w:val="24"/>
                <w:lang w:eastAsia="zh-CN"/>
              </w:rPr>
              <w:t xml:space="preserve">greement: </w:t>
            </w:r>
          </w:p>
          <w:p>
            <w:pPr>
              <w:pStyle w:val="36"/>
              <w:keepNext w:val="0"/>
              <w:keepLines w:val="0"/>
              <w:numPr>
                <w:ilvl w:val="0"/>
                <w:numId w:val="2"/>
              </w:numPr>
              <w:suppressLineNumbers w:val="0"/>
              <w:overflowPunct/>
              <w:autoSpaceDE/>
              <w:autoSpaceDN/>
              <w:adjustRightInd/>
              <w:spacing w:before="0" w:beforeAutospacing="0" w:after="120" w:afterAutospacing="0"/>
              <w:ind w:right="0" w:firstLineChars="0"/>
              <w:textAlignment w:val="auto"/>
              <w:rPr>
                <w:rFonts w:hint="default" w:eastAsia="宋体"/>
                <w:szCs w:val="24"/>
                <w:lang w:eastAsia="zh-CN"/>
              </w:rPr>
            </w:pPr>
            <w:r>
              <w:rPr>
                <w:rFonts w:hint="eastAsia" w:eastAsia="宋体"/>
                <w:szCs w:val="24"/>
                <w:lang w:eastAsia="zh-CN"/>
              </w:rPr>
              <w:t>Only consider contiguous</w:t>
            </w:r>
            <w:r>
              <w:rPr>
                <w:rFonts w:hint="default" w:eastAsia="宋体"/>
                <w:szCs w:val="24"/>
                <w:lang w:eastAsia="zh-CN"/>
              </w:rPr>
              <w:t xml:space="preserve"> DL</w:t>
            </w:r>
            <w:r>
              <w:rPr>
                <w:rFonts w:hint="eastAsia" w:eastAsia="宋体"/>
                <w:szCs w:val="24"/>
                <w:lang w:eastAsia="zh-CN"/>
              </w:rPr>
              <w:t xml:space="preserve"> CA case for ATG UE intra-band CA</w:t>
            </w:r>
            <w:r>
              <w:rPr>
                <w:rFonts w:hint="default" w:eastAsia="宋体"/>
                <w:szCs w:val="24"/>
                <w:lang w:eastAsia="zh-CN"/>
              </w:rPr>
              <w:t>.</w:t>
            </w:r>
          </w:p>
          <w:p>
            <w:pPr>
              <w:pStyle w:val="36"/>
              <w:keepNext w:val="0"/>
              <w:keepLines w:val="0"/>
              <w:numPr>
                <w:ilvl w:val="0"/>
                <w:numId w:val="2"/>
              </w:numPr>
              <w:suppressLineNumbers w:val="0"/>
              <w:overflowPunct/>
              <w:autoSpaceDE/>
              <w:autoSpaceDN/>
              <w:adjustRightInd/>
              <w:spacing w:before="0" w:beforeAutospacing="0" w:after="120" w:afterAutospacing="0"/>
              <w:ind w:right="0" w:firstLineChars="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Cs w:val="24"/>
                <w:lang w:eastAsia="zh-CN"/>
              </w:rPr>
              <w:t>The example band combination for intra-band contiguous CA is CA_n79C</w:t>
            </w: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color w:val="0070C0"/>
                <w:u w:val="single"/>
                <w:lang w:val="en-US" w:eastAsia="zh-CN"/>
              </w:rPr>
            </w:pPr>
            <w:r>
              <w:rPr>
                <w:rFonts w:hint="default"/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val="en-US" w:eastAsia="zh-CN"/>
              </w:rPr>
              <w:t>3-2-2</w:t>
            </w:r>
            <w:r>
              <w:rPr>
                <w:rFonts w:hint="default"/>
                <w:b/>
                <w:color w:val="0070C0"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color w:val="0070C0"/>
                <w:u w:val="single"/>
                <w:lang w:val="en-US" w:eastAsia="zh-CN"/>
              </w:rPr>
              <w:t>BCS for DL CA_n79C</w:t>
            </w:r>
          </w:p>
          <w:p>
            <w:pPr>
              <w:pStyle w:val="36"/>
              <w:keepNext w:val="0"/>
              <w:keepLines w:val="0"/>
              <w:numPr>
                <w:ilvl w:val="0"/>
                <w:numId w:val="3"/>
              </w:numPr>
              <w:suppressLineNumbers w:val="0"/>
              <w:overflowPunct/>
              <w:autoSpaceDE/>
              <w:autoSpaceDN/>
              <w:adjustRightInd/>
              <w:spacing w:before="0" w:beforeAutospacing="0" w:after="120" w:afterAutospacing="0"/>
              <w:ind w:left="720" w:right="0" w:firstLineChars="0"/>
              <w:textAlignment w:val="auto"/>
              <w:rPr>
                <w:rFonts w:hint="default" w:eastAsia="宋体"/>
                <w:color w:val="0070C0"/>
                <w:szCs w:val="24"/>
                <w:lang w:eastAsia="zh-CN"/>
              </w:rPr>
            </w:pPr>
            <w:r>
              <w:rPr>
                <w:rFonts w:hint="default" w:eastAsia="宋体"/>
                <w:color w:val="0070C0"/>
                <w:szCs w:val="24"/>
                <w:lang w:eastAsia="zh-CN"/>
              </w:rPr>
              <w:t>Proposals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3"/>
              </w:numPr>
              <w:suppressLineNumbers w:val="0"/>
              <w:overflowPunct/>
              <w:autoSpaceDE/>
              <w:autoSpaceDN/>
              <w:adjustRightInd/>
              <w:spacing w:before="0" w:beforeAutospacing="0" w:after="120" w:afterAutospacing="0"/>
              <w:ind w:left="1440" w:right="0" w:firstLineChars="0"/>
              <w:textAlignment w:val="auto"/>
              <w:rPr>
                <w:rFonts w:hint="default" w:eastAsia="宋体"/>
                <w:color w:val="0070C0"/>
                <w:szCs w:val="24"/>
                <w:lang w:eastAsia="zh-CN"/>
              </w:rPr>
            </w:pPr>
            <w:r>
              <w:rPr>
                <w:rFonts w:hint="default" w:eastAsia="宋体"/>
                <w:color w:val="0070C0"/>
                <w:szCs w:val="24"/>
                <w:lang w:eastAsia="zh-CN"/>
              </w:rPr>
              <w:t xml:space="preserve">Option 1: </w:t>
            </w:r>
            <w:r>
              <w:rPr>
                <w:rFonts w:hint="eastAsia" w:eastAsia="宋体"/>
                <w:color w:val="0070C0"/>
                <w:szCs w:val="24"/>
                <w:lang w:val="en-US" w:eastAsia="zh-CN"/>
              </w:rPr>
              <w:t>BCS4 (Huawei)</w:t>
            </w:r>
          </w:p>
          <w:tbl>
            <w:tblPr>
              <w:tblStyle w:val="25"/>
              <w:tblW w:w="10635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65"/>
              <w:gridCol w:w="1248"/>
              <w:gridCol w:w="1041"/>
              <w:gridCol w:w="1041"/>
              <w:gridCol w:w="1041"/>
              <w:gridCol w:w="1041"/>
              <w:gridCol w:w="1041"/>
              <w:gridCol w:w="1018"/>
              <w:gridCol w:w="11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20" w:hRule="atLeast"/>
                <w:jc w:val="center"/>
              </w:trPr>
              <w:tc>
                <w:tcPr>
                  <w:tcW w:w="10635" w:type="dxa"/>
                  <w:gridSpan w:val="9"/>
                  <w:tcBorders>
                    <w:top w:val="single" w:color="auto" w:sz="4" w:space="0"/>
                    <w:left w:val="single" w:color="auto" w:sz="4" w:space="0"/>
                    <w:bottom w:val="single" w:color="auto" w:sz="6" w:space="0"/>
                    <w:right w:val="single" w:color="auto" w:sz="4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lang w:val="en-US"/>
                    </w:rPr>
                  </w:pPr>
                  <w:r>
                    <w:rPr>
                      <w:rFonts w:hint="default"/>
                      <w:lang w:val="en-US"/>
                    </w:rPr>
                    <w:t>NR CA configuration / Bandwidth combination set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80" w:hRule="atLeast"/>
                <w:jc w:val="center"/>
              </w:trPr>
              <w:tc>
                <w:tcPr>
                  <w:tcW w:w="1307" w:type="dxa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NR CA configuration</w:t>
                  </w:r>
                </w:p>
              </w:tc>
              <w:tc>
                <w:tcPr>
                  <w:tcW w:w="1176" w:type="dxa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lang w:val="en-US"/>
                    </w:rPr>
                  </w:pPr>
                  <w:r>
                    <w:rPr>
                      <w:rFonts w:hint="default"/>
                      <w:lang w:val="en-US"/>
                    </w:rPr>
                    <w:t>Uplink CA configurations or single uplink carrier</w:t>
                  </w:r>
                  <w:r>
                    <w:rPr>
                      <w:rFonts w:hint="eastAsia"/>
                      <w:vertAlign w:val="superscript"/>
                      <w:lang w:val="en-US" w:eastAsia="zh-CN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lang w:val="en-US"/>
                    </w:rPr>
                  </w:pPr>
                  <w:r>
                    <w:rPr>
                      <w:rFonts w:hint="default"/>
                      <w:lang w:val="en-US"/>
                    </w:rPr>
                    <w:t>Channel bandwidths for carrier (MHz)</w:t>
                  </w:r>
                </w:p>
              </w:tc>
              <w:tc>
                <w:tcPr>
                  <w:tcW w:w="127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lang w:val="en-US"/>
                    </w:rPr>
                  </w:pPr>
                  <w:r>
                    <w:rPr>
                      <w:rFonts w:hint="default"/>
                      <w:lang w:val="en-US"/>
                    </w:rPr>
                    <w:t>Channel bandwidths for carrier (MHz)</w:t>
                  </w: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lang w:val="en-US"/>
                    </w:rPr>
                  </w:pPr>
                  <w:r>
                    <w:rPr>
                      <w:rFonts w:hint="default"/>
                      <w:lang w:val="en-US"/>
                    </w:rPr>
                    <w:t>Channel bandwidths for carrier (MHz)</w:t>
                  </w: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lang w:val="en-US"/>
                    </w:rPr>
                  </w:pPr>
                  <w:r>
                    <w:rPr>
                      <w:rFonts w:hint="default"/>
                      <w:lang w:val="en-US"/>
                    </w:rPr>
                    <w:t>Channel bandwidths for carrier (MHz)</w:t>
                  </w:r>
                </w:p>
              </w:tc>
              <w:tc>
                <w:tcPr>
                  <w:tcW w:w="107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lang w:val="en-US"/>
                    </w:rPr>
                  </w:pPr>
                  <w:r>
                    <w:rPr>
                      <w:rFonts w:hint="default"/>
                      <w:lang w:val="en-US"/>
                    </w:rPr>
                    <w:t>Channel bandwidths for carrier (MHz)</w:t>
                  </w:r>
                </w:p>
              </w:tc>
              <w:tc>
                <w:tcPr>
                  <w:tcW w:w="1080" w:type="dxa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 xml:space="preserve">Maximum aggregated </w:t>
                  </w:r>
                  <w:r>
                    <w:rPr>
                      <w:rFonts w:hint="default"/>
                    </w:rPr>
                    <w:br w:type="textWrapping"/>
                  </w:r>
                  <w:r>
                    <w:rPr>
                      <w:rFonts w:hint="default"/>
                    </w:rPr>
                    <w:t>bandwidth (MHz)</w:t>
                  </w:r>
                </w:p>
              </w:tc>
              <w:tc>
                <w:tcPr>
                  <w:tcW w:w="1318" w:type="dxa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Bandwidth combination set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30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CA</w:t>
                  </w:r>
                  <w:r>
                    <w:rPr>
                      <w:rFonts w:hint="default"/>
                      <w:lang w:eastAsia="zh-CN"/>
                    </w:rPr>
                    <w:t>_n79C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lang w:eastAsia="zh-CN"/>
                    </w:rPr>
                  </w:pPr>
                  <w:r>
                    <w:rPr>
                      <w:rFonts w:hint="default"/>
                      <w:lang w:eastAsia="zh-CN"/>
                    </w:rPr>
                    <w:t>-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single" w:color="auto" w:sz="6" w:space="0"/>
                    <w:left w:val="single" w:color="auto" w:sz="4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eastAsia="Yu Mincho"/>
                      <w:lang w:val="en-US" w:eastAsia="ja-JP"/>
                    </w:rPr>
                  </w:pPr>
                  <w:r>
                    <w:rPr>
                      <w:rFonts w:hint="default" w:cs="Arial"/>
                      <w:szCs w:val="18"/>
                      <w:lang w:val="en-US"/>
                    </w:rPr>
                    <w:t>See n79 channel bandwidths in Table 5.3.5-1 for each carrier</w:t>
                  </w:r>
                  <w:r>
                    <w:rPr>
                      <w:rFonts w:hint="default" w:cs="Arial"/>
                      <w:szCs w:val="18"/>
                      <w:vertAlign w:val="superscript"/>
                      <w:lang w:val="en-US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107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lang w:eastAsia="zh-CN"/>
                    </w:rPr>
                  </w:pPr>
                  <w:r>
                    <w:rPr>
                      <w:rFonts w:hint="default"/>
                      <w:lang w:eastAsia="zh-CN"/>
                    </w:rPr>
                    <w:t>200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4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0635" w:type="dxa"/>
                  <w:gridSpan w:val="9"/>
                  <w:tcBorders>
                    <w:left w:val="single" w:color="auto" w:sz="4" w:space="0"/>
                    <w:bottom w:val="single" w:color="auto" w:sz="6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0"/>
                    <w:suppressLineNumbers w:val="0"/>
                    <w:spacing w:before="0" w:beforeAutospacing="0" w:afterAutospacing="0"/>
                    <w:ind w:right="0"/>
                    <w:rPr>
                      <w:rFonts w:hint="default"/>
                      <w:lang w:val="en-US"/>
                    </w:rPr>
                  </w:pPr>
                  <w:r>
                    <w:rPr>
                      <w:rFonts w:hint="default"/>
                      <w:lang w:val="en-US"/>
                    </w:rPr>
                    <w:t>NOTE 1:</w:t>
                  </w:r>
                  <w:r>
                    <w:rPr>
                      <w:rFonts w:hint="default"/>
                      <w:lang w:val="en-US"/>
                    </w:rPr>
                    <w:tab/>
                  </w:r>
                  <w:r>
                    <w:rPr>
                      <w:rFonts w:hint="default"/>
                      <w:lang w:val="en-US"/>
                    </w:rPr>
                    <w:t>5 MHz is not applicable for 30/60 kHz SCS.</w:t>
                  </w:r>
                </w:p>
                <w:p>
                  <w:pPr>
                    <w:pStyle w:val="50"/>
                    <w:suppressLineNumbers w:val="0"/>
                    <w:spacing w:before="0" w:beforeAutospacing="0" w:afterAutospacing="0"/>
                    <w:ind w:right="0"/>
                    <w:rPr>
                      <w:rFonts w:hint="default"/>
                      <w:lang w:val="en-US"/>
                    </w:rPr>
                  </w:pPr>
                  <w:r>
                    <w:rPr>
                      <w:rFonts w:hint="default"/>
                      <w:lang w:val="en-US"/>
                    </w:rPr>
                    <w:t>NOTE 2:</w:t>
                  </w:r>
                  <w:r>
                    <w:rPr>
                      <w:rFonts w:hint="default"/>
                      <w:lang w:val="en-US"/>
                    </w:rPr>
                    <w:tab/>
                  </w:r>
                  <w:r>
                    <w:rPr>
                      <w:rFonts w:hint="default"/>
                      <w:lang w:val="en-US"/>
                    </w:rPr>
                    <w:t>The aggregated bandwidth must be greater than or equal to the minimum for the bandwidth class defined in Table 5.3A.5-1, and smaller than or equal to the maximum aggregated bandwidth.</w:t>
                  </w:r>
                </w:p>
                <w:p>
                  <w:pPr>
                    <w:pStyle w:val="50"/>
                    <w:suppressLineNumbers w:val="0"/>
                    <w:spacing w:before="0" w:beforeAutospacing="0" w:afterAutospacing="0"/>
                    <w:ind w:right="0"/>
                    <w:rPr>
                      <w:rFonts w:hint="default"/>
                      <w:lang w:val="en-US"/>
                    </w:rPr>
                  </w:pPr>
                  <w:r>
                    <w:rPr>
                      <w:rFonts w:hint="default"/>
                      <w:lang w:val="en-US"/>
                    </w:rPr>
                    <w:t xml:space="preserve">NOTE </w:t>
                  </w:r>
                  <w:r>
                    <w:rPr>
                      <w:rFonts w:hint="eastAsia"/>
                      <w:lang w:val="en-US" w:eastAsia="zh-CN"/>
                    </w:rPr>
                    <w:t>3</w:t>
                  </w:r>
                  <w:r>
                    <w:rPr>
                      <w:rFonts w:hint="default"/>
                      <w:lang w:val="en-US"/>
                    </w:rPr>
                    <w:t xml:space="preserve">: </w:t>
                  </w:r>
                  <w:r>
                    <w:rPr>
                      <w:rFonts w:hint="default"/>
                      <w:lang w:val="en-US"/>
                    </w:rPr>
                    <w:tab/>
                  </w:r>
                  <w:r>
                    <w:rPr>
                      <w:rFonts w:hint="default"/>
                      <w:lang w:val="en-US"/>
                    </w:rPr>
                    <w:t>Minimum requirements for Power Class 2 are applicable for this uplink combination or single uplink carrier in this downlink/uplink combination</w:t>
                  </w:r>
                </w:p>
                <w:p>
                  <w:pPr>
                    <w:pStyle w:val="50"/>
                    <w:suppressLineNumbers w:val="0"/>
                    <w:spacing w:before="0" w:beforeAutospacing="0" w:afterAutospacing="0"/>
                    <w:ind w:right="0"/>
                    <w:rPr>
                      <w:rFonts w:hint="default"/>
                      <w:lang w:val="en-US"/>
                    </w:rPr>
                  </w:pPr>
                  <w:r>
                    <w:rPr>
                      <w:rFonts w:hint="default"/>
                      <w:lang w:val="en-US"/>
                    </w:rPr>
                    <w:t xml:space="preserve">NOTE </w:t>
                  </w:r>
                  <w:r>
                    <w:rPr>
                      <w:rFonts w:hint="eastAsia"/>
                      <w:lang w:val="en-US" w:eastAsia="zh-CN"/>
                    </w:rPr>
                    <w:t>4</w:t>
                  </w:r>
                  <w:r>
                    <w:rPr>
                      <w:rFonts w:hint="default"/>
                      <w:lang w:val="en-US"/>
                    </w:rPr>
                    <w:t xml:space="preserve">: </w:t>
                  </w:r>
                  <w:r>
                    <w:rPr>
                      <w:rFonts w:hint="default"/>
                      <w:lang w:val="en-US"/>
                    </w:rPr>
                    <w:tab/>
                  </w:r>
                  <w:r>
                    <w:rPr>
                      <w:rFonts w:hint="default"/>
                      <w:lang w:val="en-US"/>
                    </w:rPr>
                    <w:t>Minimum requirements for Power Class 1.5 are applicable for this uplink combination or single uplink carrier in this downlink/uplink combination</w:t>
                  </w:r>
                </w:p>
                <w:p>
                  <w:pPr>
                    <w:pStyle w:val="50"/>
                    <w:suppressLineNumbers w:val="0"/>
                    <w:spacing w:before="0" w:beforeAutospacing="0" w:afterAutospacing="0"/>
                    <w:ind w:right="0"/>
                    <w:rPr>
                      <w:rFonts w:hint="default"/>
                      <w:lang w:val="en-US"/>
                    </w:rPr>
                  </w:pPr>
                  <w:r>
                    <w:rPr>
                      <w:rFonts w:hint="default"/>
                      <w:lang w:val="en-US"/>
                    </w:rPr>
                    <w:t xml:space="preserve">NOTE </w:t>
                  </w:r>
                  <w:r>
                    <w:rPr>
                      <w:rFonts w:hint="eastAsia"/>
                      <w:lang w:val="en-US" w:eastAsia="zh-CN"/>
                    </w:rPr>
                    <w:t>5</w:t>
                  </w:r>
                  <w:r>
                    <w:rPr>
                      <w:rFonts w:hint="default"/>
                      <w:lang w:val="en-US"/>
                    </w:rPr>
                    <w:t xml:space="preserve">: </w:t>
                  </w:r>
                  <w:r>
                    <w:rPr>
                      <w:rFonts w:hint="default"/>
                      <w:lang w:val="en-US"/>
                    </w:rPr>
                    <w:tab/>
                  </w:r>
                  <w:r>
                    <w:rPr>
                      <w:rFonts w:hint="default"/>
                      <w:lang w:val="en-US"/>
                    </w:rPr>
                    <w:t>Only single uplink carriers with power class other than PC3 are listed.</w:t>
                  </w:r>
                </w:p>
              </w:tc>
            </w:tr>
          </w:tbl>
          <w:p>
            <w:pPr>
              <w:pStyle w:val="36"/>
              <w:keepNext w:val="0"/>
              <w:keepLines w:val="0"/>
              <w:suppressLineNumbers w:val="0"/>
              <w:overflowPunct/>
              <w:autoSpaceDE/>
              <w:autoSpaceDN/>
              <w:adjustRightInd/>
              <w:spacing w:before="0" w:beforeAutospacing="0" w:after="120" w:afterAutospacing="0"/>
              <w:ind w:left="0" w:right="0" w:firstLine="0" w:firstLineChars="0"/>
              <w:textAlignment w:val="auto"/>
              <w:rPr>
                <w:rFonts w:hint="default" w:eastAsia="宋体"/>
                <w:color w:val="0070C0"/>
                <w:szCs w:val="24"/>
                <w:lang w:eastAsia="zh-CN"/>
              </w:rPr>
            </w:pPr>
          </w:p>
          <w:p>
            <w:pPr>
              <w:pStyle w:val="36"/>
              <w:keepNext w:val="0"/>
              <w:keepLines w:val="0"/>
              <w:numPr>
                <w:ilvl w:val="1"/>
                <w:numId w:val="3"/>
              </w:numPr>
              <w:suppressLineNumbers w:val="0"/>
              <w:overflowPunct/>
              <w:autoSpaceDE/>
              <w:autoSpaceDN/>
              <w:adjustRightInd/>
              <w:spacing w:before="0" w:beforeAutospacing="0" w:after="120" w:afterAutospacing="0"/>
              <w:ind w:left="1440" w:right="0" w:firstLineChars="0"/>
              <w:textAlignment w:val="auto"/>
              <w:rPr>
                <w:rFonts w:hint="default" w:eastAsia="宋体"/>
                <w:color w:val="0070C0"/>
                <w:szCs w:val="24"/>
                <w:lang w:eastAsia="zh-CN"/>
              </w:rPr>
            </w:pPr>
            <w:r>
              <w:rPr>
                <w:rFonts w:hint="default" w:eastAsia="宋体"/>
                <w:color w:val="0070C0"/>
                <w:szCs w:val="24"/>
                <w:lang w:eastAsia="zh-CN"/>
              </w:rPr>
              <w:t xml:space="preserve">Option 2: </w:t>
            </w:r>
            <w:r>
              <w:rPr>
                <w:rFonts w:hint="eastAsia" w:eastAsia="宋体"/>
                <w:color w:val="0070C0"/>
                <w:szCs w:val="24"/>
                <w:lang w:val="en-US" w:eastAsia="zh-CN"/>
              </w:rPr>
              <w:t>(APPLE)</w:t>
            </w:r>
          </w:p>
          <w:p>
            <w:pPr>
              <w:pStyle w:val="47"/>
              <w:suppressLineNumbers w:val="0"/>
              <w:spacing w:beforeAutospacing="0" w:after="120" w:afterAutospacing="0"/>
              <w:ind w:left="0" w:right="0"/>
              <w:rPr>
                <w:rFonts w:hint="default" w:ascii="Helvetica Neue" w:hAnsi="Helvetica Neue" w:eastAsia="Times New Roman"/>
                <w:lang w:val="en-US" w:eastAsia="zh-CN"/>
              </w:rPr>
            </w:pPr>
            <w:r>
              <w:rPr>
                <w:rFonts w:hint="default" w:ascii="Helvetica Neue" w:hAnsi="Helvetica Neue" w:eastAsia="Times New Roman"/>
                <w:lang w:val="en-US" w:eastAsia="zh-CN"/>
              </w:rPr>
              <w:t>Table 2.2-1 BCS for CA_n79C</w:t>
            </w:r>
          </w:p>
          <w:tbl>
            <w:tblPr>
              <w:tblStyle w:val="25"/>
              <w:tblW w:w="9781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18"/>
              <w:gridCol w:w="819"/>
              <w:gridCol w:w="1233"/>
              <w:gridCol w:w="1233"/>
              <w:gridCol w:w="1233"/>
              <w:gridCol w:w="1233"/>
              <w:gridCol w:w="1233"/>
              <w:gridCol w:w="1158"/>
              <w:gridCol w:w="57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20" w:hRule="atLeast"/>
                <w:jc w:val="center"/>
              </w:trPr>
              <w:tc>
                <w:tcPr>
                  <w:tcW w:w="9781" w:type="dxa"/>
                  <w:gridSpan w:val="9"/>
                  <w:tcBorders>
                    <w:top w:val="single" w:color="auto" w:sz="4" w:space="0"/>
                    <w:left w:val="single" w:color="auto" w:sz="4" w:space="0"/>
                    <w:bottom w:val="single" w:color="auto" w:sz="6" w:space="0"/>
                    <w:right w:val="single" w:color="auto" w:sz="4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sz w:val="21"/>
                      <w:szCs w:val="21"/>
                      <w:lang w:val="en-US"/>
                    </w:rPr>
                  </w:pPr>
                  <w:r>
                    <w:rPr>
                      <w:rFonts w:hint="default" w:ascii="Helvetica Neue" w:hAnsi="Helvetica Neue"/>
                      <w:sz w:val="21"/>
                      <w:szCs w:val="21"/>
                      <w:lang w:val="en-US"/>
                    </w:rPr>
                    <w:t>NR CA configuration / Bandwidth combination set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80" w:hRule="atLeast"/>
                <w:jc w:val="center"/>
              </w:trPr>
              <w:tc>
                <w:tcPr>
                  <w:tcW w:w="992" w:type="dxa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jc w:val="left"/>
                    <w:rPr>
                      <w:rFonts w:hint="default" w:ascii="Helvetica Neue" w:hAnsi="Helvetica Neue"/>
                      <w:sz w:val="21"/>
                      <w:szCs w:val="21"/>
                    </w:rPr>
                  </w:pPr>
                  <w:r>
                    <w:rPr>
                      <w:rFonts w:hint="default" w:ascii="Helvetica Neue" w:hAnsi="Helvetica Neue"/>
                      <w:sz w:val="21"/>
                      <w:szCs w:val="21"/>
                    </w:rPr>
                    <w:t>NR CA config</w:t>
                  </w:r>
                </w:p>
              </w:tc>
              <w:tc>
                <w:tcPr>
                  <w:tcW w:w="933" w:type="dxa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sz w:val="21"/>
                      <w:szCs w:val="21"/>
                    </w:rPr>
                  </w:pPr>
                  <w:r>
                    <w:rPr>
                      <w:rFonts w:hint="default" w:ascii="Helvetica Neue" w:hAnsi="Helvetica Neue"/>
                      <w:sz w:val="21"/>
                      <w:szCs w:val="21"/>
                    </w:rPr>
                    <w:t xml:space="preserve">Uplink CA config </w:t>
                  </w: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sz w:val="21"/>
                      <w:szCs w:val="21"/>
                      <w:lang w:val="en-US"/>
                    </w:rPr>
                  </w:pPr>
                  <w:r>
                    <w:rPr>
                      <w:rFonts w:hint="default" w:ascii="Helvetica Neue" w:hAnsi="Helvetica Neue"/>
                      <w:sz w:val="21"/>
                      <w:szCs w:val="21"/>
                      <w:lang w:val="en-US"/>
                    </w:rPr>
                    <w:t>Channel bandwidths for carrier (MHz)</w:t>
                  </w:r>
                </w:p>
              </w:tc>
              <w:tc>
                <w:tcPr>
                  <w:tcW w:w="127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sz w:val="21"/>
                      <w:szCs w:val="21"/>
                      <w:lang w:val="en-US"/>
                    </w:rPr>
                  </w:pPr>
                  <w:r>
                    <w:rPr>
                      <w:rFonts w:hint="default" w:ascii="Helvetica Neue" w:hAnsi="Helvetica Neue"/>
                      <w:sz w:val="21"/>
                      <w:szCs w:val="21"/>
                      <w:lang w:val="en-US"/>
                    </w:rPr>
                    <w:t>Channel bandwidths for carrier (MHz)</w:t>
                  </w: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sz w:val="21"/>
                      <w:szCs w:val="21"/>
                      <w:lang w:val="en-US"/>
                    </w:rPr>
                  </w:pPr>
                  <w:r>
                    <w:rPr>
                      <w:rFonts w:hint="default" w:ascii="Helvetica Neue" w:hAnsi="Helvetica Neue"/>
                      <w:sz w:val="21"/>
                      <w:szCs w:val="21"/>
                      <w:lang w:val="en-US"/>
                    </w:rPr>
                    <w:t>Channel bandwidths for carrier (MHz)</w:t>
                  </w: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sz w:val="21"/>
                      <w:szCs w:val="21"/>
                      <w:lang w:val="en-US"/>
                    </w:rPr>
                  </w:pPr>
                  <w:r>
                    <w:rPr>
                      <w:rFonts w:hint="default" w:ascii="Helvetica Neue" w:hAnsi="Helvetica Neue"/>
                      <w:sz w:val="21"/>
                      <w:szCs w:val="21"/>
                      <w:lang w:val="en-US"/>
                    </w:rPr>
                    <w:t>Channel bandwidths for carrier (MHz)</w:t>
                  </w:r>
                </w:p>
              </w:tc>
              <w:tc>
                <w:tcPr>
                  <w:tcW w:w="107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sz w:val="21"/>
                      <w:szCs w:val="21"/>
                      <w:lang w:val="en-US"/>
                    </w:rPr>
                  </w:pPr>
                  <w:r>
                    <w:rPr>
                      <w:rFonts w:hint="default" w:ascii="Helvetica Neue" w:hAnsi="Helvetica Neue"/>
                      <w:sz w:val="21"/>
                      <w:szCs w:val="21"/>
                      <w:lang w:val="en-US"/>
                    </w:rPr>
                    <w:t>Channel bandwidths for carrier (MHz)</w:t>
                  </w:r>
                </w:p>
              </w:tc>
              <w:tc>
                <w:tcPr>
                  <w:tcW w:w="1393" w:type="dxa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sz w:val="21"/>
                      <w:szCs w:val="21"/>
                    </w:rPr>
                  </w:pPr>
                  <w:r>
                    <w:rPr>
                      <w:rFonts w:hint="default" w:ascii="Helvetica Neue" w:hAnsi="Helvetica Neue"/>
                      <w:sz w:val="21"/>
                      <w:szCs w:val="21"/>
                    </w:rPr>
                    <w:t xml:space="preserve">Maximum aggregated </w:t>
                  </w:r>
                  <w:r>
                    <w:rPr>
                      <w:rFonts w:hint="default" w:ascii="Helvetica Neue" w:hAnsi="Helvetica Neue"/>
                      <w:sz w:val="21"/>
                      <w:szCs w:val="21"/>
                    </w:rPr>
                    <w:br w:type="textWrapping"/>
                  </w:r>
                  <w:r>
                    <w:rPr>
                      <w:rFonts w:hint="default" w:ascii="Helvetica Neue" w:hAnsi="Helvetica Neue"/>
                      <w:sz w:val="21"/>
                      <w:szCs w:val="21"/>
                    </w:rPr>
                    <w:t>bandwidth (MHz)</w:t>
                  </w:r>
                </w:p>
              </w:tc>
              <w:tc>
                <w:tcPr>
                  <w:tcW w:w="709" w:type="dxa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sz w:val="21"/>
                      <w:szCs w:val="21"/>
                    </w:rPr>
                  </w:pPr>
                  <w:r>
                    <w:rPr>
                      <w:rFonts w:hint="default" w:ascii="Helvetica Neue" w:hAnsi="Helvetica Neue"/>
                      <w:sz w:val="21"/>
                      <w:szCs w:val="21"/>
                    </w:rPr>
                    <w:t>BCS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80" w:hRule="atLeast"/>
                <w:jc w:val="center"/>
              </w:trPr>
              <w:tc>
                <w:tcPr>
                  <w:tcW w:w="992" w:type="dxa"/>
                  <w:vMerge w:val="restart"/>
                  <w:tcBorders>
                    <w:top w:val="single" w:color="auto" w:sz="6" w:space="0"/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  <w:r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  <w:t>CA_n79C</w:t>
                  </w:r>
                </w:p>
              </w:tc>
              <w:tc>
                <w:tcPr>
                  <w:tcW w:w="933" w:type="dxa"/>
                  <w:vMerge w:val="restart"/>
                  <w:tcBorders>
                    <w:top w:val="single" w:color="auto" w:sz="6" w:space="0"/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  <w:lang w:eastAsia="zh-CN"/>
                    </w:rPr>
                  </w:pPr>
                  <w:r>
                    <w:rPr>
                      <w:rFonts w:hint="default" w:ascii="Helvetica Neue" w:hAnsi="Helvetica Neue"/>
                      <w:b w:val="0"/>
                      <w:bCs/>
                      <w:sz w:val="20"/>
                      <w:lang w:eastAsia="zh-CN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  <w:r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  <w:t>50</w:t>
                  </w:r>
                </w:p>
              </w:tc>
              <w:tc>
                <w:tcPr>
                  <w:tcW w:w="127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  <w:r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  <w:t>60, 80, 100</w:t>
                  </w: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</w:p>
              </w:tc>
              <w:tc>
                <w:tcPr>
                  <w:tcW w:w="107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</w:p>
              </w:tc>
              <w:tc>
                <w:tcPr>
                  <w:tcW w:w="1393" w:type="dxa"/>
                  <w:vMerge w:val="restart"/>
                  <w:tcBorders>
                    <w:top w:val="single" w:color="auto" w:sz="6" w:space="0"/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  <w:r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  <w:t>200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color="auto" w:sz="6" w:space="0"/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  <w:r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  <w:t>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80" w:hRule="atLeast"/>
                <w:jc w:val="center"/>
              </w:trPr>
              <w:tc>
                <w:tcPr>
                  <w:tcW w:w="992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</w:p>
              </w:tc>
              <w:tc>
                <w:tcPr>
                  <w:tcW w:w="933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  <w:r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  <w:t>60</w:t>
                  </w:r>
                </w:p>
              </w:tc>
              <w:tc>
                <w:tcPr>
                  <w:tcW w:w="127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  <w:r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  <w:t>60, 80, 100</w:t>
                  </w: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</w:p>
              </w:tc>
              <w:tc>
                <w:tcPr>
                  <w:tcW w:w="107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</w:p>
              </w:tc>
              <w:tc>
                <w:tcPr>
                  <w:tcW w:w="1393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</w:p>
              </w:tc>
              <w:tc>
                <w:tcPr>
                  <w:tcW w:w="709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80" w:hRule="atLeast"/>
                <w:jc w:val="center"/>
              </w:trPr>
              <w:tc>
                <w:tcPr>
                  <w:tcW w:w="992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</w:p>
              </w:tc>
              <w:tc>
                <w:tcPr>
                  <w:tcW w:w="933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  <w:r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  <w:t>80</w:t>
                  </w:r>
                </w:p>
              </w:tc>
              <w:tc>
                <w:tcPr>
                  <w:tcW w:w="127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  <w:r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  <w:t>80, 100</w:t>
                  </w: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</w:p>
              </w:tc>
              <w:tc>
                <w:tcPr>
                  <w:tcW w:w="107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</w:p>
              </w:tc>
              <w:tc>
                <w:tcPr>
                  <w:tcW w:w="1393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</w:p>
              </w:tc>
              <w:tc>
                <w:tcPr>
                  <w:tcW w:w="709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80" w:hRule="atLeast"/>
                <w:jc w:val="center"/>
              </w:trPr>
              <w:tc>
                <w:tcPr>
                  <w:tcW w:w="992" w:type="dxa"/>
                  <w:vMerge w:val="continue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</w:p>
              </w:tc>
              <w:tc>
                <w:tcPr>
                  <w:tcW w:w="933" w:type="dxa"/>
                  <w:vMerge w:val="continue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  <w:r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  <w:t>100</w:t>
                  </w:r>
                </w:p>
              </w:tc>
              <w:tc>
                <w:tcPr>
                  <w:tcW w:w="127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  <w:r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</w:p>
              </w:tc>
              <w:tc>
                <w:tcPr>
                  <w:tcW w:w="107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</w:p>
              </w:tc>
              <w:tc>
                <w:tcPr>
                  <w:tcW w:w="1393" w:type="dxa"/>
                  <w:vMerge w:val="continue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</w:p>
              </w:tc>
              <w:tc>
                <w:tcPr>
                  <w:tcW w:w="709" w:type="dxa"/>
                  <w:vMerge w:val="continue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ascii="Helvetica Neue" w:hAnsi="Helvetica Neue"/>
                      <w:b w:val="0"/>
                      <w:bCs/>
                      <w:sz w:val="20"/>
                    </w:rPr>
                  </w:pPr>
                </w:p>
              </w:tc>
            </w:tr>
          </w:tbl>
          <w:p>
            <w:pPr>
              <w:pStyle w:val="36"/>
              <w:keepNext w:val="0"/>
              <w:keepLines w:val="0"/>
              <w:suppressLineNumbers w:val="0"/>
              <w:overflowPunct/>
              <w:autoSpaceDE/>
              <w:autoSpaceDN/>
              <w:adjustRightInd/>
              <w:spacing w:before="0" w:beforeAutospacing="0" w:after="120" w:afterAutospacing="0"/>
              <w:ind w:left="0" w:right="0" w:firstLine="0" w:firstLineChars="0"/>
              <w:textAlignment w:val="auto"/>
              <w:rPr>
                <w:rFonts w:hint="default" w:eastAsia="宋体"/>
                <w:color w:val="0070C0"/>
                <w:szCs w:val="24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120" w:afterAutospacing="0"/>
              <w:ind w:left="0" w:right="0"/>
              <w:rPr>
                <w:rFonts w:hint="default"/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Agreement:</w:t>
            </w:r>
          </w:p>
          <w:p>
            <w:pPr>
              <w:pStyle w:val="36"/>
              <w:keepNext w:val="0"/>
              <w:keepLines w:val="0"/>
              <w:numPr>
                <w:ilvl w:val="0"/>
                <w:numId w:val="2"/>
              </w:numPr>
              <w:suppressLineNumbers w:val="0"/>
              <w:overflowPunct/>
              <w:autoSpaceDE/>
              <w:autoSpaceDN/>
              <w:adjustRightInd/>
              <w:spacing w:before="0" w:beforeAutospacing="0" w:after="120" w:afterAutospacing="0"/>
              <w:ind w:right="0" w:firstLineChars="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Cs w:val="24"/>
                <w:lang w:eastAsia="zh-CN"/>
              </w:rPr>
              <w:t xml:space="preserve">FFS on the supported BCS for </w:t>
            </w:r>
            <w:r>
              <w:rPr>
                <w:rFonts w:hint="default" w:eastAsia="宋体"/>
                <w:szCs w:val="24"/>
                <w:lang w:eastAsia="zh-CN"/>
              </w:rPr>
              <w:t>DL CA_n79C</w:t>
            </w:r>
          </w:p>
        </w:tc>
      </w:tr>
    </w:tbl>
    <w:p>
      <w:pPr>
        <w:tabs>
          <w:tab w:val="left" w:pos="2127"/>
        </w:tabs>
        <w:spacing w:after="0"/>
        <w:rPr>
          <w:rFonts w:hint="default"/>
          <w:lang w:val="en-US" w:eastAsia="zh-CN"/>
        </w:rPr>
      </w:pPr>
    </w:p>
    <w:p>
      <w:pPr>
        <w:pStyle w:val="57"/>
        <w:tabs>
          <w:tab w:val="left" w:pos="567"/>
          <w:tab w:val="clear" w:pos="1985"/>
        </w:tabs>
        <w:adjustRightInd w:val="0"/>
        <w:ind w:left="510" w:hanging="510"/>
        <w:rPr>
          <w:rFonts w:eastAsia="Times New Roman"/>
        </w:rPr>
      </w:pPr>
      <w:bookmarkStart w:id="2" w:name="OLE_LINK20"/>
      <w:bookmarkStart w:id="3" w:name="OLE_LINK13"/>
      <w:bookmarkStart w:id="4" w:name="OLE_LINK14"/>
      <w:bookmarkStart w:id="5" w:name="OLE_LINK10"/>
      <w:r>
        <w:rPr>
          <w:rFonts w:hint="eastAsia"/>
          <w:lang w:val="en-US" w:eastAsia="zh-CN"/>
        </w:rPr>
        <w:t>Discussion</w:t>
      </w:r>
      <w:r>
        <w:rPr>
          <w:rFonts w:hint="eastAsia" w:eastAsia="Times New Roman"/>
        </w:rPr>
        <w:t xml:space="preserve"> </w:t>
      </w:r>
    </w:p>
    <w:p>
      <w:pPr>
        <w:pStyle w:val="57"/>
        <w:keepNext/>
        <w:keepLines/>
        <w:pageBreakBefore w:val="0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260" w:lineRule="auto"/>
        <w:ind w:leftChars="0"/>
        <w:textAlignment w:val="auto"/>
        <w:outlineLvl w:val="1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2.1. BCS for CA_n79C </w:t>
      </w:r>
    </w:p>
    <w:p>
      <w:pPr>
        <w:tabs>
          <w:tab w:val="left" w:pos="2127"/>
        </w:tabs>
        <w:spacing w:after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Usually for BCS configuration of certain band combination, 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up to operator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decision or request. From the practical market perspective, it seems that minimum channel bandwidth to be supported is 40MHz and 10/20/30MHz might be not necessary. In addition, as we know that 70MHz channel bandwidth is somehow optional. if there are no practical market request for 10/20/30MHz and 70MHz channel bandwidth, BCS0 could be used for band combination n79C.</w:t>
      </w:r>
    </w:p>
    <w:p>
      <w:pPr>
        <w:tabs>
          <w:tab w:val="left" w:pos="2127"/>
        </w:tabs>
        <w:spacing w:after="0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</w:t>
      </w:r>
      <w:r>
        <w:rPr>
          <w:rFonts w:hint="eastAsia"/>
          <w:lang w:val="en-US" w:eastAsia="zh-CN"/>
        </w:rPr>
        <w:t>: use BCS0 for band combination n79C if there are no practical market demand for 10/20/30/70MHz channel bandwidth.</w:t>
      </w:r>
    </w:p>
    <w:tbl>
      <w:tblPr>
        <w:tblStyle w:val="25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0"/>
        <w:gridCol w:w="828"/>
        <w:gridCol w:w="1248"/>
        <w:gridCol w:w="1248"/>
        <w:gridCol w:w="1248"/>
        <w:gridCol w:w="1248"/>
        <w:gridCol w:w="1248"/>
        <w:gridCol w:w="1172"/>
        <w:gridCol w:w="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978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sz w:val="21"/>
                <w:szCs w:val="21"/>
                <w:lang w:val="en-US"/>
              </w:rPr>
            </w:pPr>
            <w:r>
              <w:rPr>
                <w:rFonts w:hint="default" w:ascii="Helvetica Neue" w:hAnsi="Helvetica Neue"/>
                <w:sz w:val="21"/>
                <w:szCs w:val="21"/>
                <w:lang w:val="en-US"/>
              </w:rPr>
              <w:t>NR CA configuration / 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Helvetica Neue" w:hAnsi="Helvetica Neue"/>
                <w:sz w:val="21"/>
                <w:szCs w:val="21"/>
              </w:rPr>
            </w:pPr>
            <w:r>
              <w:rPr>
                <w:rFonts w:hint="default" w:ascii="Helvetica Neue" w:hAnsi="Helvetica Neue"/>
                <w:sz w:val="21"/>
                <w:szCs w:val="21"/>
              </w:rPr>
              <w:t>NR CA config</w:t>
            </w:r>
          </w:p>
        </w:tc>
        <w:tc>
          <w:tcPr>
            <w:tcW w:w="93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sz w:val="21"/>
                <w:szCs w:val="21"/>
              </w:rPr>
            </w:pPr>
            <w:r>
              <w:rPr>
                <w:rFonts w:hint="default" w:ascii="Helvetica Neue" w:hAnsi="Helvetica Neue"/>
                <w:sz w:val="21"/>
                <w:szCs w:val="21"/>
              </w:rPr>
              <w:t xml:space="preserve">Uplink CA config 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sz w:val="21"/>
                <w:szCs w:val="21"/>
                <w:lang w:val="en-US"/>
              </w:rPr>
            </w:pPr>
            <w:r>
              <w:rPr>
                <w:rFonts w:hint="default" w:ascii="Helvetica Neue" w:hAnsi="Helvetica Neue"/>
                <w:sz w:val="21"/>
                <w:szCs w:val="21"/>
                <w:lang w:val="en-US"/>
              </w:rPr>
              <w:t>Channel bandwidths for carrier (MHz)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sz w:val="21"/>
                <w:szCs w:val="21"/>
                <w:lang w:val="en-US"/>
              </w:rPr>
            </w:pPr>
            <w:r>
              <w:rPr>
                <w:rFonts w:hint="default" w:ascii="Helvetica Neue" w:hAnsi="Helvetica Neue"/>
                <w:sz w:val="21"/>
                <w:szCs w:val="21"/>
                <w:lang w:val="en-US"/>
              </w:rPr>
              <w:t>Channel bandwidths for carrier (MHz)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sz w:val="21"/>
                <w:szCs w:val="21"/>
                <w:lang w:val="en-US"/>
              </w:rPr>
            </w:pPr>
            <w:r>
              <w:rPr>
                <w:rFonts w:hint="default" w:ascii="Helvetica Neue" w:hAnsi="Helvetica Neue"/>
                <w:sz w:val="21"/>
                <w:szCs w:val="21"/>
                <w:lang w:val="en-US"/>
              </w:rPr>
              <w:t>Channel bandwidths for carrier (MHz)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sz w:val="21"/>
                <w:szCs w:val="21"/>
                <w:lang w:val="en-US"/>
              </w:rPr>
            </w:pPr>
            <w:r>
              <w:rPr>
                <w:rFonts w:hint="default" w:ascii="Helvetica Neue" w:hAnsi="Helvetica Neue"/>
                <w:sz w:val="21"/>
                <w:szCs w:val="21"/>
                <w:lang w:val="en-US"/>
              </w:rPr>
              <w:t>Channel bandwidths for carrier (MHz)</w:t>
            </w: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sz w:val="21"/>
                <w:szCs w:val="21"/>
                <w:lang w:val="en-US"/>
              </w:rPr>
            </w:pPr>
            <w:r>
              <w:rPr>
                <w:rFonts w:hint="default" w:ascii="Helvetica Neue" w:hAnsi="Helvetica Neue"/>
                <w:sz w:val="21"/>
                <w:szCs w:val="21"/>
                <w:lang w:val="en-US"/>
              </w:rPr>
              <w:t>Channel bandwidths for carrier (MHz)</w:t>
            </w:r>
          </w:p>
        </w:tc>
        <w:tc>
          <w:tcPr>
            <w:tcW w:w="13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sz w:val="21"/>
                <w:szCs w:val="21"/>
              </w:rPr>
            </w:pPr>
            <w:r>
              <w:rPr>
                <w:rFonts w:hint="default" w:ascii="Helvetica Neue" w:hAnsi="Helvetica Neue"/>
                <w:sz w:val="21"/>
                <w:szCs w:val="21"/>
              </w:rPr>
              <w:t xml:space="preserve">Maximum aggregated </w:t>
            </w:r>
            <w:r>
              <w:rPr>
                <w:rFonts w:hint="default" w:ascii="Helvetica Neue" w:hAnsi="Helvetica Neue"/>
                <w:sz w:val="21"/>
                <w:szCs w:val="21"/>
              </w:rPr>
              <w:br w:type="textWrapping"/>
            </w:r>
            <w:r>
              <w:rPr>
                <w:rFonts w:hint="default" w:ascii="Helvetica Neue" w:hAnsi="Helvetica Neue"/>
                <w:sz w:val="21"/>
                <w:szCs w:val="21"/>
              </w:rPr>
              <w:t>bandwidth (MHz)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sz w:val="21"/>
                <w:szCs w:val="21"/>
              </w:rPr>
            </w:pPr>
            <w:r>
              <w:rPr>
                <w:rFonts w:hint="default" w:ascii="Helvetica Neue" w:hAnsi="Helvetica Neue"/>
                <w:sz w:val="21"/>
                <w:szCs w:val="21"/>
              </w:rPr>
              <w:t>BCS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992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  <w:r>
              <w:rPr>
                <w:rFonts w:hint="default" w:ascii="Helvetica Neue" w:hAnsi="Helvetica Neue"/>
                <w:b w:val="0"/>
                <w:bCs/>
                <w:sz w:val="20"/>
              </w:rPr>
              <w:t>CA_n79C</w:t>
            </w:r>
          </w:p>
        </w:tc>
        <w:tc>
          <w:tcPr>
            <w:tcW w:w="93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  <w:lang w:eastAsia="zh-CN"/>
              </w:rPr>
            </w:pPr>
            <w:r>
              <w:rPr>
                <w:rFonts w:hint="default" w:ascii="Helvetica Neue" w:hAnsi="Helvetica Neue"/>
                <w:b w:val="0"/>
                <w:bCs/>
                <w:sz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  <w:r>
              <w:rPr>
                <w:rFonts w:hint="default" w:ascii="Helvetica Neue" w:hAnsi="Helvetica Neue"/>
                <w:b w:val="0"/>
                <w:bCs/>
                <w:sz w:val="20"/>
              </w:rPr>
              <w:t>50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  <w:r>
              <w:rPr>
                <w:rFonts w:hint="default" w:ascii="Helvetica Neue" w:hAnsi="Helvetica Neue"/>
                <w:b w:val="0"/>
                <w:bCs/>
                <w:sz w:val="20"/>
              </w:rPr>
              <w:t>60, 80, 100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139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  <w:r>
              <w:rPr>
                <w:rFonts w:hint="default" w:ascii="Helvetica Neue" w:hAnsi="Helvetica Neue"/>
                <w:b w:val="0"/>
                <w:bCs/>
                <w:sz w:val="20"/>
              </w:rPr>
              <w:t>200</w:t>
            </w:r>
          </w:p>
        </w:tc>
        <w:tc>
          <w:tcPr>
            <w:tcW w:w="709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  <w:r>
              <w:rPr>
                <w:rFonts w:hint="default" w:ascii="Helvetica Neue" w:hAnsi="Helvetica Neue"/>
                <w:b w:val="0"/>
                <w:bCs/>
                <w:sz w:val="2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93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  <w:r>
              <w:rPr>
                <w:rFonts w:hint="default" w:ascii="Helvetica Neue" w:hAnsi="Helvetica Neue"/>
                <w:b w:val="0"/>
                <w:bCs/>
                <w:sz w:val="20"/>
              </w:rPr>
              <w:t>60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  <w:r>
              <w:rPr>
                <w:rFonts w:hint="default" w:ascii="Helvetica Neue" w:hAnsi="Helvetica Neue"/>
                <w:b w:val="0"/>
                <w:bCs/>
                <w:sz w:val="20"/>
              </w:rPr>
              <w:t>60, 80, 100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13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93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  <w:r>
              <w:rPr>
                <w:rFonts w:hint="default" w:ascii="Helvetica Neue" w:hAnsi="Helvetica Neue"/>
                <w:b w:val="0"/>
                <w:bCs/>
                <w:sz w:val="20"/>
              </w:rPr>
              <w:t>80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  <w:r>
              <w:rPr>
                <w:rFonts w:hint="default" w:ascii="Helvetica Neue" w:hAnsi="Helvetica Neue"/>
                <w:b w:val="0"/>
                <w:bCs/>
                <w:sz w:val="20"/>
              </w:rPr>
              <w:t>80, 100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13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9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  <w:r>
              <w:rPr>
                <w:rFonts w:hint="default" w:ascii="Helvetica Neue" w:hAnsi="Helvetica Neue"/>
                <w:b w:val="0"/>
                <w:bCs/>
                <w:sz w:val="20"/>
              </w:rPr>
              <w:t>100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  <w:r>
              <w:rPr>
                <w:rFonts w:hint="default" w:ascii="Helvetica Neue" w:hAnsi="Helvetica Neue"/>
                <w:b w:val="0"/>
                <w:bCs/>
                <w:sz w:val="20"/>
              </w:rPr>
              <w:t>100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13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</w:tr>
    </w:tbl>
    <w:p>
      <w:pPr>
        <w:tabs>
          <w:tab w:val="left" w:pos="2127"/>
        </w:tabs>
        <w:spacing w:after="0"/>
        <w:rPr>
          <w:rFonts w:hint="default"/>
          <w:lang w:val="en-US" w:eastAsia="zh-CN"/>
        </w:rPr>
      </w:pPr>
    </w:p>
    <w:p>
      <w:pPr>
        <w:pStyle w:val="57"/>
        <w:keepNext/>
        <w:keepLines/>
        <w:pageBreakBefore w:val="0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260" w:lineRule="auto"/>
        <w:ind w:leftChars="0"/>
        <w:textAlignment w:val="auto"/>
        <w:outlineLvl w:val="1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2.2. RF requirements for Intra-band CA </w:t>
      </w:r>
    </w:p>
    <w:p>
      <w:pPr>
        <w:tabs>
          <w:tab w:val="left" w:pos="2127"/>
        </w:tabs>
        <w:spacing w:after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this section, we provide some initial analysis on the overall requirement for ATG UE supporting intra-band DL CA and also provided the summary of proposals for it. </w:t>
      </w:r>
    </w:p>
    <w:p>
      <w:pPr>
        <w:tabs>
          <w:tab w:val="left" w:pos="2127"/>
        </w:tabs>
        <w:spacing w:after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Table 2. Analysis and summary of proposals for ATG UE supporting intra-band DL CA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1"/>
        <w:gridCol w:w="49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The existing RF requirement for intra-band contiguous CA</w:t>
            </w:r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ATG UE supporting intra-band 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pStyle w:val="5"/>
              <w:suppressLineNumbers w:val="0"/>
              <w:spacing w:beforeAutospacing="0" w:afterAutospacing="0"/>
              <w:ind w:left="0" w:leftChars="0" w:right="0" w:firstLine="0" w:firstLineChars="0"/>
              <w:rPr>
                <w:rFonts w:hint="eastAsia"/>
                <w:vertAlign w:val="baseline"/>
                <w:lang w:val="en-US" w:eastAsia="zh-CN"/>
              </w:rPr>
            </w:pPr>
            <w:bookmarkStart w:id="6" w:name="_Toc76509112"/>
            <w:bookmarkStart w:id="7" w:name="_Toc69084081"/>
            <w:bookmarkStart w:id="8" w:name="_Toc45888103"/>
            <w:bookmarkStart w:id="9" w:name="_Toc37251300"/>
            <w:bookmarkStart w:id="10" w:name="_Toc29801743"/>
            <w:bookmarkStart w:id="11" w:name="_Toc84413530"/>
            <w:bookmarkStart w:id="12" w:name="_Toc21344257"/>
            <w:bookmarkStart w:id="13" w:name="_Toc29802792"/>
            <w:bookmarkStart w:id="14" w:name="_Toc61372727"/>
            <w:bookmarkStart w:id="15" w:name="_Toc68230668"/>
            <w:bookmarkStart w:id="16" w:name="_Toc29802167"/>
            <w:bookmarkStart w:id="17" w:name="_Toc76718102"/>
            <w:bookmarkStart w:id="18" w:name="_Toc36107534"/>
            <w:bookmarkStart w:id="19" w:name="_Toc75467090"/>
            <w:bookmarkStart w:id="20" w:name="_Toc83580412"/>
            <w:bookmarkStart w:id="21" w:name="_Toc84404921"/>
            <w:bookmarkStart w:id="22" w:name="_Toc45888702"/>
            <w:bookmarkStart w:id="23" w:name="_Toc61367344"/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2"/>
                <w:vertAlign w:val="baseline"/>
                <w:lang w:val="en-US" w:eastAsia="zh-CN" w:bidi="ar-SA"/>
              </w:rPr>
              <w:t>6.2A.1.1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21"/>
                <w:szCs w:val="22"/>
                <w:vertAlign w:val="baselin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2"/>
                <w:vertAlign w:val="baseline"/>
                <w:lang w:val="en-US" w:eastAsia="zh-CN" w:bidi="ar-SA"/>
              </w:rPr>
              <w:t>UE maximum output power for Intra-band contiguous CA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 impacts, to reuse Rel-18 ATG UE single carrier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lang w:val="en-US" w:eastAsia="zh-CN"/>
              </w:rPr>
            </w:pPr>
            <w:bookmarkStart w:id="24" w:name="_Toc21344261"/>
            <w:bookmarkStart w:id="25" w:name="_Toc37251304"/>
            <w:bookmarkStart w:id="26" w:name="_Toc45888708"/>
            <w:bookmarkStart w:id="27" w:name="_Toc36107538"/>
            <w:bookmarkStart w:id="28" w:name="_Toc29802171"/>
            <w:bookmarkStart w:id="29" w:name="_Toc29801747"/>
            <w:bookmarkStart w:id="30" w:name="_Toc29802796"/>
            <w:bookmarkStart w:id="31" w:name="_Toc45888109"/>
            <w:bookmarkStart w:id="32" w:name="_Toc84404927"/>
            <w:bookmarkStart w:id="33" w:name="_Toc83580418"/>
            <w:bookmarkStart w:id="34" w:name="_Toc76718108"/>
            <w:bookmarkStart w:id="35" w:name="_Toc84413536"/>
            <w:bookmarkStart w:id="36" w:name="_Toc76509118"/>
            <w:bookmarkStart w:id="37" w:name="_Toc75467096"/>
            <w:bookmarkStart w:id="38" w:name="_Toc61372733"/>
            <w:bookmarkStart w:id="39" w:name="_Toc69084087"/>
            <w:bookmarkStart w:id="40" w:name="_Toc68230674"/>
            <w:bookmarkStart w:id="41" w:name="_Toc61367350"/>
            <w:r>
              <w:rPr>
                <w:rFonts w:hint="default"/>
              </w:rPr>
              <w:t>6.2A.2.1</w:t>
            </w:r>
            <w:r>
              <w:rPr>
                <w:rFonts w:hint="default"/>
              </w:rPr>
              <w:tab/>
            </w:r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r>
              <w:rPr>
                <w:rFonts w:hint="default"/>
              </w:rPr>
              <w:t>UE maximum output power reduction for Intra-band contiguous CA</w:t>
            </w:r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 impacts, to reuse Rel-18 ATG UE single carrier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lang w:val="en-US" w:eastAsia="zh-CN"/>
              </w:rPr>
            </w:pPr>
            <w:bookmarkStart w:id="42" w:name="_Toc37251308"/>
            <w:bookmarkStart w:id="43" w:name="_Toc36107542"/>
            <w:bookmarkStart w:id="44" w:name="_Toc45888713"/>
            <w:bookmarkStart w:id="45" w:name="_Toc29802800"/>
            <w:bookmarkStart w:id="46" w:name="_Toc45888114"/>
            <w:bookmarkStart w:id="47" w:name="_Toc29801751"/>
            <w:bookmarkStart w:id="48" w:name="_Toc29802175"/>
            <w:bookmarkStart w:id="49" w:name="_Toc21344265"/>
            <w:bookmarkStart w:id="50" w:name="_Toc68230681"/>
            <w:bookmarkStart w:id="51" w:name="_Toc61367357"/>
            <w:bookmarkStart w:id="52" w:name="_Toc75467103"/>
            <w:bookmarkStart w:id="53" w:name="_Toc69084094"/>
            <w:bookmarkStart w:id="54" w:name="_Toc76718115"/>
            <w:bookmarkStart w:id="55" w:name="_Toc83580425"/>
            <w:bookmarkStart w:id="56" w:name="_Toc61372740"/>
            <w:bookmarkStart w:id="57" w:name="_Toc76509125"/>
            <w:bookmarkStart w:id="58" w:name="_Toc84413543"/>
            <w:bookmarkStart w:id="59" w:name="_Toc84404934"/>
            <w:r>
              <w:rPr>
                <w:rFonts w:hint="default"/>
              </w:rPr>
              <w:t>6.2A.3.1.1</w:t>
            </w:r>
            <w:r>
              <w:rPr>
                <w:rFonts w:hint="default"/>
              </w:rPr>
              <w:tab/>
            </w:r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r>
              <w:rPr>
                <w:rFonts w:hint="default"/>
              </w:rPr>
              <w:t>UE additional maximum output power reduction for Intra-band contiguous CA</w:t>
            </w:r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 impacts, to reuse Rel-18 ATG UE single carrier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lang w:val="en-US" w:eastAsia="zh-CN"/>
              </w:rPr>
            </w:pPr>
            <w:bookmarkStart w:id="60" w:name="_Toc61372746"/>
            <w:bookmarkStart w:id="61" w:name="_Toc83580431"/>
            <w:bookmarkStart w:id="62" w:name="_Toc61367363"/>
            <w:bookmarkStart w:id="63" w:name="_Toc45888119"/>
            <w:bookmarkStart w:id="64" w:name="_Toc36107547"/>
            <w:bookmarkStart w:id="65" w:name="_Toc21344270"/>
            <w:bookmarkStart w:id="66" w:name="_Toc29801756"/>
            <w:bookmarkStart w:id="67" w:name="_Toc75467109"/>
            <w:bookmarkStart w:id="68" w:name="_Toc76509131"/>
            <w:bookmarkStart w:id="69" w:name="_Toc68230687"/>
            <w:bookmarkStart w:id="70" w:name="_Toc84413549"/>
            <w:bookmarkStart w:id="71" w:name="_Toc29802180"/>
            <w:bookmarkStart w:id="72" w:name="_Toc76718121"/>
            <w:bookmarkStart w:id="73" w:name="_Toc37251313"/>
            <w:bookmarkStart w:id="74" w:name="_Toc84404940"/>
            <w:bookmarkStart w:id="75" w:name="_Toc69084100"/>
            <w:bookmarkStart w:id="76" w:name="_Toc29802805"/>
            <w:bookmarkStart w:id="77" w:name="_Toc45888718"/>
            <w:r>
              <w:rPr>
                <w:rFonts w:hint="default"/>
              </w:rPr>
              <w:t>6.2A.4.1.1</w:t>
            </w:r>
            <w:r>
              <w:rPr>
                <w:rFonts w:hint="default"/>
              </w:rPr>
              <w:tab/>
            </w:r>
            <w:r>
              <w:rPr>
                <w:rFonts w:hint="default"/>
              </w:rPr>
              <w:t>Configured transmitted power for Intra-band contiguous CA</w:t>
            </w:r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 impacts, to reuse Rel-18 ATG UE single carrier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default"/>
              </w:rPr>
              <w:t>6.3A.1.1</w:t>
            </w:r>
            <w:r>
              <w:rPr>
                <w:rFonts w:hint="default"/>
              </w:rPr>
              <w:tab/>
            </w:r>
            <w:r>
              <w:rPr>
                <w:rFonts w:hint="default"/>
              </w:rPr>
              <w:t>Minimum output power for intra-band contiguous CA</w:t>
            </w:r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 impacts, to reuse Rel-18 ATG UE single carrier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lang w:val="en-US" w:eastAsia="zh-CN"/>
              </w:rPr>
            </w:pPr>
            <w:bookmarkStart w:id="78" w:name="_Toc21344311"/>
            <w:bookmarkStart w:id="79" w:name="_Toc36107587"/>
            <w:bookmarkStart w:id="80" w:name="_Toc75467193"/>
            <w:bookmarkStart w:id="81" w:name="_Toc45888784"/>
            <w:bookmarkStart w:id="82" w:name="_Toc37251354"/>
            <w:bookmarkStart w:id="83" w:name="_Toc76509215"/>
            <w:bookmarkStart w:id="84" w:name="_Toc29802846"/>
            <w:bookmarkStart w:id="85" w:name="_Toc61372829"/>
            <w:bookmarkStart w:id="86" w:name="_Toc21344310"/>
            <w:bookmarkStart w:id="87" w:name="_Toc76718205"/>
            <w:bookmarkStart w:id="88" w:name="_Toc29801797"/>
            <w:bookmarkStart w:id="89" w:name="_Toc84413644"/>
            <w:bookmarkStart w:id="90" w:name="_Toc45888185"/>
            <w:bookmarkStart w:id="91" w:name="_Toc69084183"/>
            <w:bookmarkStart w:id="92" w:name="_Toc84405035"/>
            <w:bookmarkStart w:id="93" w:name="_Toc36107588"/>
            <w:bookmarkStart w:id="94" w:name="_Toc29802221"/>
            <w:bookmarkStart w:id="95" w:name="_Toc83580526"/>
            <w:bookmarkStart w:id="96" w:name="_Toc45888186"/>
            <w:bookmarkStart w:id="97" w:name="_Toc68230770"/>
            <w:bookmarkStart w:id="98" w:name="_Toc29801796"/>
            <w:bookmarkStart w:id="99" w:name="_Toc29802845"/>
            <w:bookmarkStart w:id="100" w:name="_Toc29802220"/>
            <w:bookmarkStart w:id="101" w:name="_Toc45888785"/>
            <w:bookmarkStart w:id="102" w:name="_Toc61367446"/>
            <w:bookmarkStart w:id="103" w:name="_Toc37251353"/>
            <w:r>
              <w:rPr>
                <w:rFonts w:hint="default"/>
              </w:rPr>
              <w:t>6.3A.2.1</w:t>
            </w:r>
            <w:r>
              <w:rPr>
                <w:rFonts w:hint="default"/>
              </w:rPr>
              <w:tab/>
            </w:r>
            <w:r>
              <w:rPr>
                <w:rFonts w:hint="default"/>
              </w:rPr>
              <w:t>Transmit OFF power for intra-band contiguous CA</w:t>
            </w:r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 impacts, to reuse Rel-18 ATG UE single carrier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lang w:val="en-US" w:eastAsia="zh-CN"/>
              </w:rPr>
            </w:pPr>
            <w:bookmarkStart w:id="104" w:name="_Toc45888790"/>
            <w:bookmarkStart w:id="105" w:name="_Toc45888190"/>
            <w:bookmarkStart w:id="106" w:name="_Toc76509220"/>
            <w:bookmarkStart w:id="107" w:name="_Toc21344314"/>
            <w:bookmarkStart w:id="108" w:name="_Toc75467198"/>
            <w:bookmarkStart w:id="109" w:name="_Toc84405040"/>
            <w:bookmarkStart w:id="110" w:name="_Toc21344315"/>
            <w:bookmarkStart w:id="111" w:name="_Toc69084188"/>
            <w:bookmarkStart w:id="112" w:name="_Toc37251357"/>
            <w:bookmarkStart w:id="113" w:name="_Toc36107592"/>
            <w:bookmarkStart w:id="114" w:name="_Toc61367451"/>
            <w:bookmarkStart w:id="115" w:name="_Toc45888191"/>
            <w:bookmarkStart w:id="116" w:name="_Toc29802224"/>
            <w:bookmarkStart w:id="117" w:name="_Toc61372834"/>
            <w:bookmarkStart w:id="118" w:name="_Toc29801800"/>
            <w:bookmarkStart w:id="119" w:name="_Toc68230775"/>
            <w:bookmarkStart w:id="120" w:name="_Toc36107591"/>
            <w:bookmarkStart w:id="121" w:name="_Toc29802850"/>
            <w:bookmarkStart w:id="122" w:name="_Toc45888789"/>
            <w:bookmarkStart w:id="123" w:name="_Toc83580531"/>
            <w:bookmarkStart w:id="124" w:name="_Toc29802225"/>
            <w:bookmarkStart w:id="125" w:name="_Toc84413649"/>
            <w:bookmarkStart w:id="126" w:name="_Toc37251358"/>
            <w:bookmarkStart w:id="127" w:name="_Toc29801801"/>
            <w:bookmarkStart w:id="128" w:name="_Toc29802849"/>
            <w:bookmarkStart w:id="129" w:name="_Toc76718210"/>
            <w:r>
              <w:rPr>
                <w:rFonts w:hint="default"/>
              </w:rPr>
              <w:t>6.3A.3.1</w:t>
            </w:r>
            <w:r>
              <w:rPr>
                <w:rFonts w:hint="default"/>
              </w:rPr>
              <w:tab/>
            </w:r>
            <w:r>
              <w:rPr>
                <w:rFonts w:hint="default"/>
              </w:rPr>
              <w:t>Transmit ON/OFF time mask for intra-band contiguous CA</w:t>
            </w:r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 impacts, to reuse Rel-18 ATG UE single carrier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lang w:eastAsia="zh-CN"/>
              </w:rPr>
            </w:pPr>
            <w:bookmarkStart w:id="130" w:name="_Toc36107595"/>
            <w:bookmarkStart w:id="131" w:name="_Toc61372841"/>
            <w:bookmarkStart w:id="132" w:name="_Toc76718220"/>
            <w:bookmarkStart w:id="133" w:name="_Toc45888197"/>
            <w:bookmarkStart w:id="134" w:name="_Toc76509230"/>
            <w:bookmarkStart w:id="135" w:name="_Toc83580541"/>
            <w:bookmarkStart w:id="136" w:name="_Toc29802228"/>
            <w:bookmarkStart w:id="137" w:name="_Toc61367458"/>
            <w:bookmarkStart w:id="138" w:name="_Toc69084198"/>
            <w:bookmarkStart w:id="139" w:name="_Toc75467208"/>
            <w:bookmarkStart w:id="140" w:name="_Toc84413659"/>
            <w:bookmarkStart w:id="141" w:name="_Toc37251361"/>
            <w:bookmarkStart w:id="142" w:name="_Toc29801804"/>
            <w:bookmarkStart w:id="143" w:name="_Toc45888796"/>
            <w:bookmarkStart w:id="144" w:name="_Toc21344318"/>
            <w:bookmarkStart w:id="145" w:name="_Toc84405050"/>
            <w:bookmarkStart w:id="146" w:name="_Toc68230785"/>
            <w:bookmarkStart w:id="147" w:name="_Toc29802853"/>
            <w:r>
              <w:rPr>
                <w:rFonts w:hint="default"/>
              </w:rPr>
              <w:t>6.3A.4.1</w:t>
            </w:r>
            <w:r>
              <w:rPr>
                <w:rFonts w:hint="default"/>
              </w:rPr>
              <w:tab/>
            </w:r>
            <w:r>
              <w:rPr>
                <w:rFonts w:hint="default"/>
              </w:rPr>
              <w:t>Power control for intra-band contiguous CA</w:t>
            </w:r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 impacts, to reuse Rel-18 ATG UE single carrier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</w:rPr>
            </w:pPr>
            <w:bookmarkStart w:id="148" w:name="_Toc29801822"/>
            <w:bookmarkStart w:id="149" w:name="_Toc84405126"/>
            <w:bookmarkStart w:id="150" w:name="_Toc75467274"/>
            <w:bookmarkStart w:id="151" w:name="_Toc45888842"/>
            <w:bookmarkStart w:id="152" w:name="_Toc84413735"/>
            <w:bookmarkStart w:id="153" w:name="_Toc21344336"/>
            <w:bookmarkStart w:id="154" w:name="_Toc83580617"/>
            <w:bookmarkStart w:id="155" w:name="_Toc76509296"/>
            <w:bookmarkStart w:id="156" w:name="_Toc76718286"/>
            <w:bookmarkStart w:id="157" w:name="_Toc37251379"/>
            <w:bookmarkStart w:id="158" w:name="_Toc61367520"/>
            <w:bookmarkStart w:id="159" w:name="_Toc69084264"/>
            <w:bookmarkStart w:id="160" w:name="_Toc29802246"/>
            <w:bookmarkStart w:id="161" w:name="_Toc45888243"/>
            <w:bookmarkStart w:id="162" w:name="_Toc36107613"/>
            <w:bookmarkStart w:id="163" w:name="_Toc61372903"/>
            <w:bookmarkStart w:id="164" w:name="_Toc68230851"/>
            <w:bookmarkStart w:id="165" w:name="_Toc29802871"/>
            <w:r>
              <w:rPr>
                <w:rFonts w:hint="default"/>
              </w:rPr>
              <w:t>6.4A.1.1</w:t>
            </w:r>
            <w:r>
              <w:rPr>
                <w:rFonts w:hint="default"/>
              </w:rPr>
              <w:tab/>
            </w:r>
            <w:r>
              <w:rPr>
                <w:rFonts w:hint="default"/>
              </w:rPr>
              <w:t>Frequency error for intra-band contiguous CA</w:t>
            </w:r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 impacts, to reuse Rel-18 ATG UE single carrier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</w:rPr>
            </w:pPr>
            <w:bookmarkStart w:id="166" w:name="_Toc45888847"/>
            <w:bookmarkStart w:id="167" w:name="_Toc29802250"/>
            <w:bookmarkStart w:id="168" w:name="_Toc76509301"/>
            <w:bookmarkStart w:id="169" w:name="_Toc84413740"/>
            <w:bookmarkStart w:id="170" w:name="_Toc68230856"/>
            <w:bookmarkStart w:id="171" w:name="_Toc69084269"/>
            <w:bookmarkStart w:id="172" w:name="_Toc75467279"/>
            <w:bookmarkStart w:id="173" w:name="_Toc45888248"/>
            <w:bookmarkStart w:id="174" w:name="_Toc29801826"/>
            <w:bookmarkStart w:id="175" w:name="_Toc29802875"/>
            <w:bookmarkStart w:id="176" w:name="_Toc83580622"/>
            <w:bookmarkStart w:id="177" w:name="_Toc37251383"/>
            <w:bookmarkStart w:id="178" w:name="_Toc36107617"/>
            <w:bookmarkStart w:id="179" w:name="_Toc21344340"/>
            <w:bookmarkStart w:id="180" w:name="_Toc76718291"/>
            <w:bookmarkStart w:id="181" w:name="_Toc84405131"/>
            <w:bookmarkStart w:id="182" w:name="_Toc61367525"/>
            <w:bookmarkStart w:id="183" w:name="_Toc61372908"/>
            <w:r>
              <w:rPr>
                <w:rFonts w:hint="default"/>
              </w:rPr>
              <w:t>6.4A.2.1</w:t>
            </w:r>
            <w:r>
              <w:rPr>
                <w:rFonts w:hint="default"/>
              </w:rPr>
              <w:tab/>
            </w:r>
            <w:r>
              <w:rPr>
                <w:rFonts w:hint="default"/>
              </w:rPr>
              <w:t>Transmit modulation quality for intra-band contiguous CA</w:t>
            </w:r>
            <w:bookmarkEnd w:id="166"/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bookmarkEnd w:id="180"/>
            <w:bookmarkEnd w:id="181"/>
            <w:bookmarkEnd w:id="182"/>
            <w:bookmarkEnd w:id="183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 impacts, to reuse Rel-18 ATG UE single carrier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</w:rPr>
            </w:pPr>
            <w:bookmarkStart w:id="184" w:name="_Toc69084360"/>
            <w:bookmarkStart w:id="185" w:name="_Toc84413839"/>
            <w:bookmarkStart w:id="186" w:name="_Toc61367615"/>
            <w:bookmarkStart w:id="187" w:name="_Toc84405230"/>
            <w:bookmarkStart w:id="188" w:name="_Toc76509392"/>
            <w:bookmarkStart w:id="189" w:name="_Toc68230947"/>
            <w:bookmarkStart w:id="190" w:name="_Toc75467370"/>
            <w:bookmarkStart w:id="191" w:name="_Toc83580721"/>
            <w:bookmarkStart w:id="192" w:name="_Toc61372998"/>
            <w:bookmarkStart w:id="193" w:name="_Toc76718382"/>
            <w:r>
              <w:rPr>
                <w:rFonts w:hint="default"/>
              </w:rPr>
              <w:t>6.5A.1.1a</w:t>
            </w:r>
            <w:r>
              <w:rPr>
                <w:rFonts w:hint="default"/>
              </w:rPr>
              <w:tab/>
            </w:r>
            <w:r>
              <w:rPr>
                <w:rFonts w:hint="default"/>
              </w:rPr>
              <w:t>Occupied bandwidth for Intra-band contiguous CA</w:t>
            </w:r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  <w:bookmarkEnd w:id="193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 impacts, to reuse Rel-18 ATG UE single carrier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</w:rPr>
            </w:pPr>
            <w:bookmarkStart w:id="194" w:name="_Toc76509398"/>
            <w:bookmarkStart w:id="195" w:name="_Toc61373004"/>
            <w:bookmarkStart w:id="196" w:name="_Toc45888325"/>
            <w:bookmarkStart w:id="197" w:name="_Toc21344393"/>
            <w:bookmarkStart w:id="198" w:name="_Toc61367621"/>
            <w:bookmarkStart w:id="199" w:name="_Toc84405236"/>
            <w:bookmarkStart w:id="200" w:name="_Toc76718388"/>
            <w:bookmarkStart w:id="201" w:name="_Toc29801880"/>
            <w:bookmarkStart w:id="202" w:name="_Toc75467376"/>
            <w:bookmarkStart w:id="203" w:name="_Toc29802929"/>
            <w:bookmarkStart w:id="204" w:name="_Toc68230953"/>
            <w:bookmarkStart w:id="205" w:name="_Toc29802304"/>
            <w:bookmarkStart w:id="206" w:name="_Toc83580727"/>
            <w:bookmarkStart w:id="207" w:name="_Toc37251445"/>
            <w:bookmarkStart w:id="208" w:name="_Toc84413845"/>
            <w:bookmarkStart w:id="209" w:name="_Toc69084366"/>
            <w:bookmarkStart w:id="210" w:name="_Toc36107671"/>
            <w:bookmarkStart w:id="211" w:name="_Toc45888924"/>
            <w:r>
              <w:rPr>
                <w:rFonts w:hint="default"/>
              </w:rPr>
              <w:t>6.5A.2.2.1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</w:rPr>
              <w:t>Spectrum emission mask for intra-band contiguous C</w:t>
            </w:r>
            <w:bookmarkEnd w:id="194"/>
            <w:bookmarkEnd w:id="195"/>
            <w:bookmarkEnd w:id="196"/>
            <w:bookmarkEnd w:id="197"/>
            <w:bookmarkEnd w:id="198"/>
            <w:bookmarkEnd w:id="199"/>
            <w:bookmarkEnd w:id="200"/>
            <w:bookmarkEnd w:id="201"/>
            <w:bookmarkEnd w:id="202"/>
            <w:bookmarkEnd w:id="203"/>
            <w:bookmarkEnd w:id="204"/>
            <w:bookmarkEnd w:id="205"/>
            <w:bookmarkEnd w:id="206"/>
            <w:bookmarkEnd w:id="207"/>
            <w:bookmarkEnd w:id="208"/>
            <w:bookmarkEnd w:id="209"/>
            <w:bookmarkEnd w:id="210"/>
            <w:bookmarkEnd w:id="211"/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 impacts, to reuse Rel-18 ATG UE single carrier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</w:rPr>
            </w:pPr>
            <w:bookmarkStart w:id="212" w:name="_Toc45888929"/>
            <w:bookmarkStart w:id="213" w:name="_Toc45888330"/>
            <w:bookmarkStart w:id="214" w:name="_Toc29802933"/>
            <w:bookmarkStart w:id="215" w:name="_Toc21344397"/>
            <w:bookmarkStart w:id="216" w:name="_Toc37251449"/>
            <w:bookmarkStart w:id="217" w:name="_Toc29801884"/>
            <w:bookmarkStart w:id="218" w:name="_Toc36107675"/>
            <w:bookmarkStart w:id="219" w:name="_Toc29802308"/>
            <w:bookmarkStart w:id="220" w:name="_Toc76509403"/>
            <w:bookmarkStart w:id="221" w:name="_Toc84405241"/>
            <w:bookmarkStart w:id="222" w:name="_Toc61367626"/>
            <w:bookmarkStart w:id="223" w:name="_Toc76718393"/>
            <w:bookmarkStart w:id="224" w:name="_Toc84413850"/>
            <w:bookmarkStart w:id="225" w:name="_Toc69084371"/>
            <w:bookmarkStart w:id="226" w:name="_Toc61373009"/>
            <w:bookmarkStart w:id="227" w:name="_Toc68230958"/>
            <w:bookmarkStart w:id="228" w:name="_Toc83580732"/>
            <w:bookmarkStart w:id="229" w:name="_Toc75467381"/>
            <w:r>
              <w:rPr>
                <w:rFonts w:hint="default"/>
              </w:rPr>
              <w:t>6.5A.2.3.1</w:t>
            </w:r>
            <w:bookmarkEnd w:id="212"/>
            <w:bookmarkEnd w:id="213"/>
            <w:bookmarkEnd w:id="214"/>
            <w:bookmarkEnd w:id="215"/>
            <w:bookmarkEnd w:id="216"/>
            <w:bookmarkEnd w:id="217"/>
            <w:bookmarkEnd w:id="218"/>
            <w:bookmarkEnd w:id="219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</w:rPr>
              <w:t>Additional spectrum emission mask for intra-band contiguous CA</w:t>
            </w:r>
            <w:bookmarkEnd w:id="220"/>
            <w:bookmarkEnd w:id="221"/>
            <w:bookmarkEnd w:id="222"/>
            <w:bookmarkEnd w:id="223"/>
            <w:bookmarkEnd w:id="224"/>
            <w:bookmarkEnd w:id="225"/>
            <w:bookmarkEnd w:id="226"/>
            <w:bookmarkEnd w:id="227"/>
            <w:bookmarkEnd w:id="228"/>
            <w:bookmarkEnd w:id="229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 impacts, to reuse Rel-18 ATG UE single carrier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</w:rPr>
            </w:pPr>
            <w:bookmarkStart w:id="230" w:name="_Toc29801899"/>
            <w:bookmarkStart w:id="231" w:name="_Toc84405250"/>
            <w:bookmarkStart w:id="232" w:name="_Toc37251464"/>
            <w:bookmarkStart w:id="233" w:name="_Toc61367636"/>
            <w:bookmarkStart w:id="234" w:name="_Toc36107690"/>
            <w:bookmarkStart w:id="235" w:name="_Toc45888340"/>
            <w:bookmarkStart w:id="236" w:name="_Toc45888939"/>
            <w:bookmarkStart w:id="237" w:name="_Toc61373019"/>
            <w:bookmarkStart w:id="238" w:name="_Toc29802948"/>
            <w:bookmarkStart w:id="239" w:name="_Toc29802323"/>
            <w:bookmarkStart w:id="240" w:name="_Toc84413859"/>
            <w:bookmarkStart w:id="241" w:name="_Toc68230968"/>
            <w:bookmarkStart w:id="242" w:name="_Toc76509413"/>
            <w:bookmarkStart w:id="243" w:name="_Toc83580741"/>
            <w:bookmarkStart w:id="244" w:name="_Toc69084381"/>
            <w:bookmarkStart w:id="245" w:name="_Toc76718403"/>
            <w:bookmarkStart w:id="246" w:name="_Toc75467391"/>
            <w:bookmarkStart w:id="247" w:name="_Toc21344412"/>
            <w:r>
              <w:rPr>
                <w:rFonts w:hint="default"/>
              </w:rPr>
              <w:t>6.5A.3.2.1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</w:rPr>
              <w:t>Spurious emissions for UE co-existence for intra-band contiguous CA</w:t>
            </w:r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 impacts, to reuse Rel-18 ATG UE single carrier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</w:rPr>
            </w:pPr>
            <w:bookmarkStart w:id="248" w:name="_Toc83580748"/>
            <w:bookmarkStart w:id="249" w:name="_Toc75467398"/>
            <w:bookmarkStart w:id="250" w:name="_Toc69084388"/>
            <w:bookmarkStart w:id="251" w:name="_Toc61367643"/>
            <w:bookmarkStart w:id="252" w:name="_Toc76718410"/>
            <w:bookmarkStart w:id="253" w:name="_Toc68230975"/>
            <w:bookmarkStart w:id="254" w:name="_Toc76509420"/>
            <w:bookmarkStart w:id="255" w:name="_Toc84413866"/>
            <w:bookmarkStart w:id="256" w:name="_Toc61373026"/>
            <w:bookmarkStart w:id="257" w:name="_Toc84405257"/>
            <w:r>
              <w:rPr>
                <w:rFonts w:hint="default"/>
              </w:rPr>
              <w:t>6.5A.3.3.1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</w:rPr>
              <w:t>Additional spurious emissions for intra-band contiguous  CA</w:t>
            </w:r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 impacts, to reuse Rel-18 ATG UE single carrier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</w:rPr>
            </w:pPr>
            <w:bookmarkStart w:id="258" w:name="_Toc45888946"/>
            <w:bookmarkStart w:id="259" w:name="_Toc76509422"/>
            <w:bookmarkStart w:id="260" w:name="_Toc29802952"/>
            <w:bookmarkStart w:id="261" w:name="_Toc29802327"/>
            <w:bookmarkStart w:id="262" w:name="_Toc61367645"/>
            <w:bookmarkStart w:id="263" w:name="_Toc68230977"/>
            <w:bookmarkStart w:id="264" w:name="_Toc69084390"/>
            <w:bookmarkStart w:id="265" w:name="_Toc76718412"/>
            <w:bookmarkStart w:id="266" w:name="_Toc84405259"/>
            <w:bookmarkStart w:id="267" w:name="_Toc45888347"/>
            <w:bookmarkStart w:id="268" w:name="_Toc83580750"/>
            <w:bookmarkStart w:id="269" w:name="_Toc61373028"/>
            <w:bookmarkStart w:id="270" w:name="_Toc29801903"/>
            <w:bookmarkStart w:id="271" w:name="_Toc21344416"/>
            <w:bookmarkStart w:id="272" w:name="_Toc36107694"/>
            <w:bookmarkStart w:id="273" w:name="_Toc75467400"/>
            <w:bookmarkStart w:id="274" w:name="_Toc84413868"/>
            <w:r>
              <w:rPr>
                <w:rFonts w:hint="default"/>
              </w:rPr>
              <w:t>6.5A.4.2.1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</w:rPr>
              <w:t>Transmit intermodulation for intra-band contiguous CA</w:t>
            </w:r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  <w:bookmarkEnd w:id="268"/>
            <w:bookmarkEnd w:id="269"/>
            <w:bookmarkEnd w:id="270"/>
            <w:bookmarkEnd w:id="271"/>
            <w:bookmarkEnd w:id="272"/>
            <w:bookmarkEnd w:id="273"/>
            <w:bookmarkEnd w:id="274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 impacts, to reuse Rel-18 ATG UE single carrier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</w:rPr>
            </w:pPr>
            <w:bookmarkStart w:id="275" w:name="_Toc84413945"/>
            <w:bookmarkStart w:id="276" w:name="_Toc61373094"/>
            <w:bookmarkStart w:id="277" w:name="_Toc84405336"/>
            <w:bookmarkStart w:id="278" w:name="_Toc76509490"/>
            <w:bookmarkStart w:id="279" w:name="_Toc29802346"/>
            <w:bookmarkStart w:id="280" w:name="_Toc37251487"/>
            <w:bookmarkStart w:id="281" w:name="_Toc69084457"/>
            <w:bookmarkStart w:id="282" w:name="_Toc76718480"/>
            <w:bookmarkStart w:id="283" w:name="_Toc61367711"/>
            <w:bookmarkStart w:id="284" w:name="_Toc83580827"/>
            <w:bookmarkStart w:id="285" w:name="_Toc29801922"/>
            <w:bookmarkStart w:id="286" w:name="_Toc36107713"/>
            <w:bookmarkStart w:id="287" w:name="_Toc21344435"/>
            <w:bookmarkStart w:id="288" w:name="_Toc29802971"/>
            <w:bookmarkStart w:id="289" w:name="_Toc68231044"/>
            <w:bookmarkStart w:id="290" w:name="_Toc75467468"/>
            <w:bookmarkStart w:id="291" w:name="_Toc45888993"/>
            <w:bookmarkStart w:id="292" w:name="_Toc45888394"/>
            <w:r>
              <w:rPr>
                <w:rFonts w:hint="default"/>
              </w:rPr>
              <w:t>7.3A.2.1</w:t>
            </w:r>
            <w:r>
              <w:rPr>
                <w:rFonts w:hint="default"/>
              </w:rPr>
              <w:tab/>
            </w:r>
            <w:r>
              <w:rPr>
                <w:rFonts w:hint="default"/>
              </w:rPr>
              <w:t>Reference sensitivity power level for Intra-band contiguous CA</w:t>
            </w:r>
            <w:bookmarkEnd w:id="275"/>
            <w:bookmarkEnd w:id="276"/>
            <w:bookmarkEnd w:id="2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</w:rPr>
              <w:t>Reference sensitivity power level for Intra-band contiguous CA</w:t>
            </w: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 xml:space="preserve">For intra-band contiguous carrier aggregation, the throughput of each component carrier shall be ≥ 95 % of the maximum throughput of the reference measurement channels as specified in Annexes A.2.2.2, A.3.2, and A.3.3 (with one sided dynamic OCNG Pattern OP.1 FDD/TDD for the DL-signal as described in Annex A.5.1.1/A.5.2.1) </w:t>
            </w:r>
            <w:r>
              <w:rPr>
                <w:rFonts w:hint="default"/>
                <w:color w:val="FF0000"/>
              </w:rPr>
              <w:t>with parameters specified in Table 7.3.2-1a, Table 7.3.2-1b, Table 7.3.2-2, and Table 7.3.2-3</w:t>
            </w:r>
            <w:r>
              <w:rPr>
                <w:rFonts w:hint="default"/>
              </w:rPr>
              <w:t>.</w:t>
            </w: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</w:rPr>
              <w:t>For UE(s) supporting one uplink carrier, the uplink configuration of the PCC shall be in accordance with Table 7.3.2-3 and the downlink PCC carrier center frequency shall be configured closer to uplink operating band than any of the downlink SCC center frequency.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</w:rPr>
            </w:pPr>
            <w:bookmarkStart w:id="293" w:name="_Toc61373132"/>
            <w:bookmarkStart w:id="294" w:name="_Toc45888424"/>
            <w:bookmarkStart w:id="295" w:name="_Toc37251512"/>
            <w:bookmarkStart w:id="296" w:name="_Toc83580867"/>
            <w:bookmarkStart w:id="297" w:name="_Toc84405376"/>
            <w:bookmarkStart w:id="298" w:name="_Toc45889023"/>
            <w:bookmarkStart w:id="299" w:name="_Toc29802996"/>
            <w:bookmarkStart w:id="300" w:name="_Toc75467508"/>
            <w:bookmarkStart w:id="301" w:name="_Toc36107738"/>
            <w:bookmarkStart w:id="302" w:name="_Toc21344459"/>
            <w:bookmarkStart w:id="303" w:name="_Toc69084495"/>
            <w:bookmarkStart w:id="304" w:name="_Toc29802371"/>
            <w:bookmarkStart w:id="305" w:name="_Toc68231082"/>
            <w:bookmarkStart w:id="306" w:name="_Toc29801947"/>
            <w:bookmarkStart w:id="307" w:name="_Toc76509530"/>
            <w:bookmarkStart w:id="308" w:name="_Toc76718520"/>
            <w:bookmarkStart w:id="309" w:name="_Toc61367749"/>
            <w:bookmarkStart w:id="310" w:name="_Toc84413985"/>
            <w:r>
              <w:rPr>
                <w:rFonts w:hint="default"/>
              </w:rPr>
              <w:t>7.4A.1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</w:rPr>
              <w:t>Maximum input level for Intra-band contiguous CA</w:t>
            </w:r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  <w:bookmarkEnd w:id="306"/>
            <w:bookmarkEnd w:id="307"/>
            <w:bookmarkEnd w:id="308"/>
            <w:bookmarkEnd w:id="309"/>
            <w:bookmarkEnd w:id="310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</w:rPr>
              <w:t>Maximum input level for Intra-band contiguous CA</w:t>
            </w: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For intra-band contiguous carrier aggregation maximum input level is defined as the maximum mean power received at the UE antenna port, over the Transmission bandwidth configuration of each CC.</w:t>
            </w: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The throughput shall be ≥ 95 % of the maximum throughput of the reference measurement channels as specified in Annexs A.3.2 and A.3.3 (with one sided dynamic OCNG Pattern OP.1 FDD/TDD as described in Annex A.5.1.1/A.5.2.1) with parameters specified in Table 7.4A.1-1 for each component carrier.</w:t>
            </w:r>
          </w:p>
          <w:p>
            <w:pPr>
              <w:pStyle w:val="47"/>
              <w:suppressLineNumbers w:val="0"/>
              <w:spacing w:beforeAutospacing="0" w:afterAutospacing="0"/>
              <w:ind w:left="0" w:right="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</w:rPr>
              <w:t>Table 7.4A.1-1: Maximum input level for Intra-band contiguous CA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tbl>
            <w:tblPr>
              <w:tblStyle w:val="25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94"/>
              <w:gridCol w:w="675"/>
              <w:gridCol w:w="935"/>
              <w:gridCol w:w="947"/>
              <w:gridCol w:w="599"/>
              <w:gridCol w:w="30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</w:trPr>
              <w:tc>
                <w:tcPr>
                  <w:tcW w:w="2666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Rx Parameter</w:t>
                  </w:r>
                </w:p>
              </w:tc>
              <w:tc>
                <w:tcPr>
                  <w:tcW w:w="951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 xml:space="preserve">Units </w:t>
                  </w:r>
                </w:p>
              </w:tc>
              <w:tc>
                <w:tcPr>
                  <w:tcW w:w="6012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NR CA Bandwidth Class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</w:trPr>
              <w:tc>
                <w:tcPr>
                  <w:tcW w:w="2666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cs="Arial"/>
                    </w:rPr>
                  </w:pPr>
                </w:p>
              </w:tc>
              <w:tc>
                <w:tcPr>
                  <w:tcW w:w="951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cs="Arial"/>
                    </w:rPr>
                  </w:pPr>
                </w:p>
              </w:tc>
              <w:tc>
                <w:tcPr>
                  <w:tcW w:w="136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bCs/>
                      <w:lang w:eastAsia="zh-CN"/>
                    </w:rPr>
                  </w:pPr>
                  <w:r>
                    <w:rPr>
                      <w:rFonts w:hint="default"/>
                      <w:bCs/>
                      <w:lang w:eastAsia="zh-CN"/>
                    </w:rPr>
                    <w:t>B</w:t>
                  </w:r>
                </w:p>
              </w:tc>
              <w:tc>
                <w:tcPr>
                  <w:tcW w:w="1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bCs/>
                      <w:lang w:eastAsia="zh-CN"/>
                    </w:rPr>
                  </w:pPr>
                  <w:r>
                    <w:rPr>
                      <w:rFonts w:hint="default"/>
                      <w:bCs/>
                      <w:lang w:eastAsia="zh-CN"/>
                    </w:rPr>
                    <w:t>C</w:t>
                  </w:r>
                </w:p>
              </w:tc>
              <w:tc>
                <w:tcPr>
                  <w:tcW w:w="154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bCs/>
                      <w:lang w:eastAsia="zh-CN"/>
                    </w:rPr>
                  </w:pPr>
                  <w:r>
                    <w:rPr>
                      <w:rFonts w:hint="eastAsia"/>
                      <w:bCs/>
                      <w:lang w:eastAsia="zh-CN"/>
                    </w:rPr>
                    <w:t>D</w:t>
                  </w:r>
                </w:p>
              </w:tc>
              <w:tc>
                <w:tcPr>
                  <w:tcW w:w="151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bCs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15" w:hRule="atLeast"/>
              </w:trPr>
              <w:tc>
                <w:tcPr>
                  <w:tcW w:w="2666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pStyle w:val="39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Power in largest transmission bandwidth configuration CC, P</w:t>
                  </w:r>
                  <w:r>
                    <w:rPr>
                      <w:rFonts w:hint="default"/>
                      <w:vertAlign w:val="subscript"/>
                    </w:rPr>
                    <w:t>largest BW</w:t>
                  </w:r>
                </w:p>
              </w:tc>
              <w:tc>
                <w:tcPr>
                  <w:tcW w:w="951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dBm</w:t>
                  </w:r>
                </w:p>
              </w:tc>
              <w:tc>
                <w:tcPr>
                  <w:tcW w:w="136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eastAsia="宋体"/>
                      <w:highlight w:val="yellow"/>
                      <w:lang w:val="en-US" w:eastAsia="zh-CN"/>
                    </w:rPr>
                    <w:t>[</w:t>
                  </w:r>
                  <w:r>
                    <w:rPr>
                      <w:rFonts w:hint="default"/>
                      <w:highlight w:val="yellow"/>
                    </w:rPr>
                    <w:t>-</w:t>
                  </w:r>
                  <w:r>
                    <w:rPr>
                      <w:rFonts w:hint="eastAsia" w:eastAsia="宋体"/>
                      <w:highlight w:val="yellow"/>
                      <w:lang w:val="en-US" w:eastAsia="zh-CN"/>
                    </w:rPr>
                    <w:t>42]</w:t>
                  </w:r>
                  <w:r>
                    <w:rPr>
                      <w:rFonts w:hint="default"/>
                      <w:highlight w:val="yellow"/>
                      <w:vertAlign w:val="superscript"/>
                      <w:lang w:eastAsia="zh-CN"/>
                    </w:rPr>
                    <w:t>2</w:t>
                  </w:r>
                  <w:r>
                    <w:rPr>
                      <w:rFonts w:hint="eastAsia"/>
                      <w:highlight w:val="yellow"/>
                      <w:vertAlign w:val="superscript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  <w:t xml:space="preserve"> for omini antenna</w:t>
                  </w:r>
                </w:p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</w:pPr>
                </w:p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highlight w:val="yellow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  <w:t>[-30] for array antenna</w:t>
                  </w:r>
                </w:p>
              </w:tc>
              <w:tc>
                <w:tcPr>
                  <w:tcW w:w="1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eastAsia="宋体"/>
                      <w:highlight w:val="yellow"/>
                      <w:lang w:val="en-US" w:eastAsia="zh-CN"/>
                    </w:rPr>
                    <w:t>[</w:t>
                  </w:r>
                  <w:r>
                    <w:rPr>
                      <w:rFonts w:hint="default"/>
                      <w:highlight w:val="yellow"/>
                    </w:rPr>
                    <w:t>-</w:t>
                  </w:r>
                  <w:r>
                    <w:rPr>
                      <w:rFonts w:hint="eastAsia" w:eastAsia="宋体"/>
                      <w:highlight w:val="yellow"/>
                      <w:lang w:val="en-US" w:eastAsia="zh-CN"/>
                    </w:rPr>
                    <w:t>42]</w:t>
                  </w:r>
                  <w:r>
                    <w:rPr>
                      <w:rFonts w:hint="default"/>
                      <w:highlight w:val="yellow"/>
                      <w:vertAlign w:val="superscript"/>
                      <w:lang w:eastAsia="zh-CN"/>
                    </w:rPr>
                    <w:t>2</w:t>
                  </w:r>
                  <w:r>
                    <w:rPr>
                      <w:rFonts w:hint="eastAsia"/>
                      <w:highlight w:val="yellow"/>
                      <w:vertAlign w:val="superscript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  <w:t>for omini antenna</w:t>
                  </w:r>
                </w:p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</w:pPr>
                </w:p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highlight w:val="yellow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  <w:t>[-30] for array antenna</w:t>
                  </w:r>
                </w:p>
              </w:tc>
              <w:tc>
                <w:tcPr>
                  <w:tcW w:w="154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eastAsia="宋体"/>
                      <w:highlight w:val="yellow"/>
                      <w:lang w:val="en-US" w:eastAsia="zh-CN"/>
                    </w:rPr>
                  </w:pPr>
                  <w:r>
                    <w:rPr>
                      <w:rFonts w:hint="eastAsia" w:eastAsia="宋体"/>
                      <w:highlight w:val="yellow"/>
                      <w:lang w:val="en-US" w:eastAsia="zh-CN"/>
                    </w:rPr>
                    <w:t>N/A</w:t>
                  </w:r>
                </w:p>
              </w:tc>
              <w:tc>
                <w:tcPr>
                  <w:tcW w:w="151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</w:trPr>
              <w:tc>
                <w:tcPr>
                  <w:tcW w:w="2666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pStyle w:val="39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cs="Arial"/>
                    </w:rPr>
                  </w:pPr>
                </w:p>
              </w:tc>
              <w:tc>
                <w:tcPr>
                  <w:tcW w:w="951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cs="Arial"/>
                    </w:rPr>
                  </w:pPr>
                </w:p>
              </w:tc>
              <w:tc>
                <w:tcPr>
                  <w:tcW w:w="136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highlight w:val="yellow"/>
                      <w:lang w:val="en-US" w:eastAsia="zh-CN"/>
                    </w:rPr>
                    <w:t>[</w:t>
                  </w:r>
                  <w:r>
                    <w:rPr>
                      <w:rFonts w:hint="default"/>
                      <w:highlight w:val="yellow"/>
                      <w:lang w:eastAsia="zh-CN"/>
                    </w:rPr>
                    <w:t>-</w:t>
                  </w:r>
                  <w:r>
                    <w:rPr>
                      <w:rFonts w:hint="eastAsia"/>
                      <w:highlight w:val="yellow"/>
                      <w:lang w:val="en-US" w:eastAsia="zh-CN"/>
                    </w:rPr>
                    <w:t>44]</w:t>
                  </w:r>
                  <w:r>
                    <w:rPr>
                      <w:rFonts w:hint="default"/>
                      <w:highlight w:val="yellow"/>
                      <w:vertAlign w:val="superscript"/>
                      <w:lang w:eastAsia="zh-CN"/>
                    </w:rPr>
                    <w:t>3</w:t>
                  </w:r>
                  <w:r>
                    <w:rPr>
                      <w:rFonts w:hint="eastAsia"/>
                      <w:highlight w:val="yellow"/>
                      <w:vertAlign w:val="superscript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  <w:t>for omini antenna</w:t>
                  </w:r>
                </w:p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</w:pPr>
                </w:p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highlight w:val="yellow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  <w:t>[-32] for array antenna</w:t>
                  </w:r>
                </w:p>
              </w:tc>
              <w:tc>
                <w:tcPr>
                  <w:tcW w:w="1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highlight w:val="yellow"/>
                      <w:lang w:val="en-US" w:eastAsia="zh-CN"/>
                    </w:rPr>
                    <w:t>[</w:t>
                  </w:r>
                  <w:r>
                    <w:rPr>
                      <w:rFonts w:hint="default"/>
                      <w:highlight w:val="yellow"/>
                      <w:lang w:eastAsia="zh-CN"/>
                    </w:rPr>
                    <w:t>-</w:t>
                  </w:r>
                  <w:r>
                    <w:rPr>
                      <w:rFonts w:hint="eastAsia"/>
                      <w:highlight w:val="yellow"/>
                      <w:lang w:val="en-US" w:eastAsia="zh-CN"/>
                    </w:rPr>
                    <w:t>44]</w:t>
                  </w:r>
                  <w:r>
                    <w:rPr>
                      <w:rFonts w:hint="default"/>
                      <w:highlight w:val="yellow"/>
                      <w:vertAlign w:val="superscript"/>
                      <w:lang w:eastAsia="zh-CN"/>
                    </w:rPr>
                    <w:t>3</w:t>
                  </w:r>
                  <w:r>
                    <w:rPr>
                      <w:rFonts w:hint="eastAsia"/>
                      <w:highlight w:val="yellow"/>
                      <w:vertAlign w:val="superscript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  <w:t>for omini antenna</w:t>
                  </w:r>
                </w:p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</w:pPr>
                </w:p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highlight w:val="yellow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  <w:t>[-32] for array antenna</w:t>
                  </w:r>
                </w:p>
              </w:tc>
              <w:tc>
                <w:tcPr>
                  <w:tcW w:w="154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highlight w:val="yellow"/>
                      <w:lang w:val="en-US"/>
                    </w:rPr>
                  </w:pPr>
                  <w:r>
                    <w:rPr>
                      <w:rFonts w:hint="eastAsia"/>
                      <w:highlight w:val="yellow"/>
                      <w:lang w:val="en-US" w:eastAsia="zh-CN"/>
                    </w:rPr>
                    <w:t>N/A</w:t>
                  </w:r>
                </w:p>
              </w:tc>
              <w:tc>
                <w:tcPr>
                  <w:tcW w:w="151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</w:trPr>
              <w:tc>
                <w:tcPr>
                  <w:tcW w:w="266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jc w:val="left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Power in each other CC</w:t>
                  </w:r>
                </w:p>
              </w:tc>
              <w:tc>
                <w:tcPr>
                  <w:tcW w:w="95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cs="Arial"/>
                    </w:rPr>
                  </w:pPr>
                  <w:r>
                    <w:rPr>
                      <w:rFonts w:hint="default"/>
                    </w:rPr>
                    <w:t>dBm</w:t>
                  </w:r>
                </w:p>
              </w:tc>
              <w:tc>
                <w:tcPr>
                  <w:tcW w:w="6012" w:type="dxa"/>
                  <w:gridSpan w:val="4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vertAlign w:val="superscript"/>
                    </w:rPr>
                  </w:pPr>
                  <w:r>
                    <w:rPr>
                      <w:rFonts w:hint="default"/>
                    </w:rPr>
                    <w:t>P</w:t>
                  </w:r>
                  <w:r>
                    <w:rPr>
                      <w:rFonts w:hint="default"/>
                      <w:vertAlign w:val="subscript"/>
                    </w:rPr>
                    <w:t>largest BW</w:t>
                  </w:r>
                  <w:r>
                    <w:rPr>
                      <w:rFonts w:hint="default"/>
                      <w:lang w:eastAsia="zh-CN"/>
                    </w:rPr>
                    <w:t xml:space="preserve"> +10*log{(N</w:t>
                  </w:r>
                  <w:r>
                    <w:rPr>
                      <w:rFonts w:hint="default"/>
                      <w:vertAlign w:val="subscript"/>
                      <w:lang w:eastAsia="zh-CN"/>
                    </w:rPr>
                    <w:t>RB,c</w:t>
                  </w:r>
                  <w:r>
                    <w:rPr>
                      <w:rFonts w:hint="default"/>
                      <w:lang w:eastAsia="zh-CN"/>
                    </w:rPr>
                    <w:t>*SCS</w:t>
                  </w:r>
                  <w:r>
                    <w:rPr>
                      <w:rFonts w:hint="default"/>
                      <w:vertAlign w:val="subscript"/>
                      <w:lang w:eastAsia="zh-CN"/>
                    </w:rPr>
                    <w:t>c</w:t>
                  </w:r>
                  <w:r>
                    <w:rPr>
                      <w:rFonts w:hint="default"/>
                      <w:lang w:eastAsia="zh-CN"/>
                    </w:rPr>
                    <w:t>)/(N</w:t>
                  </w:r>
                  <w:r>
                    <w:rPr>
                      <w:rFonts w:hint="default"/>
                      <w:vertAlign w:val="subscript"/>
                      <w:lang w:eastAsia="zh-CN"/>
                    </w:rPr>
                    <w:t>RB,largest BW</w:t>
                  </w:r>
                  <w:r>
                    <w:rPr>
                      <w:rFonts w:hint="default"/>
                      <w:lang w:eastAsia="zh-CN"/>
                    </w:rPr>
                    <w:t>*SCS</w:t>
                  </w:r>
                  <w:r>
                    <w:rPr>
                      <w:rFonts w:hint="default"/>
                      <w:vertAlign w:val="subscript"/>
                      <w:lang w:eastAsia="zh-CN"/>
                    </w:rPr>
                    <w:t>largest BW</w:t>
                  </w:r>
                  <w:r>
                    <w:rPr>
                      <w:rFonts w:hint="default"/>
                      <w:lang w:eastAsia="zh-CN"/>
                    </w:rPr>
                    <w:t>)}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629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0"/>
                    <w:suppressLineNumbers w:val="0"/>
                    <w:spacing w:before="0" w:beforeAutospacing="0" w:afterAutospacing="0"/>
                    <w:ind w:right="0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NOTE 1:</w:t>
                  </w:r>
                  <w:r>
                    <w:rPr>
                      <w:rFonts w:hint="default"/>
                    </w:rPr>
                    <w:tab/>
                  </w:r>
                  <w:r>
                    <w:rPr>
                      <w:rFonts w:hint="default"/>
                    </w:rPr>
                    <w:t>The transmitter shall be set to 4 dB below P</w:t>
                  </w:r>
                  <w:r>
                    <w:rPr>
                      <w:rFonts w:hint="default"/>
                      <w:vertAlign w:val="subscript"/>
                    </w:rPr>
                    <w:t>CMAX_L,f,c</w:t>
                  </w:r>
                  <w:r>
                    <w:rPr>
                      <w:rFonts w:hint="default"/>
                    </w:rPr>
                    <w:t xml:space="preserve"> at the minimum uplink configuration specified in Table 7.3.2-3 and </w:t>
                  </w:r>
                  <w:bookmarkStart w:id="311" w:name="_Hlk118195090"/>
                  <w:r>
                    <w:rPr>
                      <w:rFonts w:hint="default"/>
                    </w:rPr>
                    <w:t xml:space="preserve">7.3F.2-3 </w:t>
                  </w:r>
                  <w:bookmarkEnd w:id="311"/>
                  <w:r>
                    <w:rPr>
                      <w:rFonts w:hint="default"/>
                    </w:rPr>
                    <w:t>for shared spectrum channel access operation with P</w:t>
                  </w:r>
                  <w:r>
                    <w:rPr>
                      <w:rFonts w:hint="default"/>
                      <w:vertAlign w:val="subscript"/>
                    </w:rPr>
                    <w:t>CMAX_L,f,c</w:t>
                  </w:r>
                  <w:r>
                    <w:rPr>
                      <w:rFonts w:hint="default"/>
                    </w:rPr>
                    <w:t xml:space="preserve"> as defined in clause 6.2.4.</w:t>
                  </w:r>
                </w:p>
                <w:p>
                  <w:pPr>
                    <w:pStyle w:val="50"/>
                    <w:suppressLineNumbers w:val="0"/>
                    <w:spacing w:before="0" w:beforeAutospacing="0" w:afterAutospacing="0"/>
                    <w:ind w:right="0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NOTE 2:</w:t>
                  </w:r>
                  <w:r>
                    <w:rPr>
                      <w:rFonts w:hint="default"/>
                    </w:rPr>
                    <w:tab/>
                  </w:r>
                  <w:r>
                    <w:rPr>
                      <w:rFonts w:hint="default"/>
                    </w:rPr>
                    <w:t>Reference measurement channel is A.3.2.3 or A.3.3.3 for 64 QAM.</w:t>
                  </w:r>
                </w:p>
                <w:p>
                  <w:pPr>
                    <w:keepNext/>
                    <w:keepLines/>
                    <w:suppressLineNumbers w:val="0"/>
                    <w:spacing w:before="0" w:beforeAutospacing="0" w:after="0" w:afterAutospacing="0"/>
                    <w:ind w:left="851" w:right="0" w:hanging="851"/>
                    <w:rPr>
                      <w:rFonts w:hint="default" w:ascii="Arial" w:hAnsi="Arial" w:eastAsiaTheme="minorEastAsia"/>
                      <w:sz w:val="18"/>
                    </w:rPr>
                  </w:pPr>
                  <w:r>
                    <w:rPr>
                      <w:rFonts w:hint="default" w:ascii="Arial" w:hAnsi="Arial" w:eastAsiaTheme="minorEastAsia"/>
                      <w:sz w:val="18"/>
                    </w:rPr>
                    <w:t>NOTE 3:</w:t>
                  </w:r>
                  <w:r>
                    <w:rPr>
                      <w:rFonts w:hint="default" w:ascii="Arial" w:hAnsi="Arial" w:eastAsiaTheme="minorEastAsia"/>
                      <w:sz w:val="18"/>
                    </w:rPr>
                    <w:tab/>
                  </w:r>
                  <w:r>
                    <w:rPr>
                      <w:rFonts w:hint="default" w:ascii="Arial" w:hAnsi="Arial" w:eastAsiaTheme="minorEastAsia"/>
                      <w:sz w:val="18"/>
                    </w:rPr>
                    <w:t>Reference measurement channel is A.3.2.4 or A.3.3.4 for 256 QAM.</w:t>
                  </w:r>
                </w:p>
                <w:p>
                  <w:pPr>
                    <w:pStyle w:val="50"/>
                    <w:suppressLineNumbers w:val="0"/>
                    <w:spacing w:before="0" w:beforeAutospacing="0" w:afterAutospacing="0"/>
                    <w:ind w:left="0" w:right="0" w:firstLine="0"/>
                    <w:rPr>
                      <w:rFonts w:hint="default"/>
                      <w:b/>
                      <w:szCs w:val="18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</w:rPr>
            </w:pPr>
            <w:bookmarkStart w:id="312" w:name="_Toc69084505"/>
            <w:bookmarkStart w:id="313" w:name="_Toc36107744"/>
            <w:bookmarkStart w:id="314" w:name="_Toc45889033"/>
            <w:bookmarkStart w:id="315" w:name="_Toc84413995"/>
            <w:bookmarkStart w:id="316" w:name="_Toc29803002"/>
            <w:bookmarkStart w:id="317" w:name="_Toc37251518"/>
            <w:bookmarkStart w:id="318" w:name="_Toc76509540"/>
            <w:bookmarkStart w:id="319" w:name="_Toc29801953"/>
            <w:bookmarkStart w:id="320" w:name="_Toc45888434"/>
            <w:bookmarkStart w:id="321" w:name="_Toc68231092"/>
            <w:bookmarkStart w:id="322" w:name="_Toc83580877"/>
            <w:bookmarkStart w:id="323" w:name="_Toc84405386"/>
            <w:bookmarkStart w:id="324" w:name="_Toc76718530"/>
            <w:bookmarkStart w:id="325" w:name="_Toc21344465"/>
            <w:bookmarkStart w:id="326" w:name="_Toc61367759"/>
            <w:bookmarkStart w:id="327" w:name="_Toc29802377"/>
            <w:bookmarkStart w:id="328" w:name="_Toc75467518"/>
            <w:bookmarkStart w:id="329" w:name="_Toc61373142"/>
            <w:r>
              <w:rPr>
                <w:rFonts w:hint="default"/>
              </w:rPr>
              <w:t>7.5A.1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</w:rPr>
              <w:t>Adjacent channel selectivity for Intra-band contiguous CA</w:t>
            </w:r>
            <w:bookmarkEnd w:id="312"/>
            <w:bookmarkEnd w:id="313"/>
            <w:bookmarkEnd w:id="314"/>
            <w:bookmarkEnd w:id="315"/>
            <w:bookmarkEnd w:id="316"/>
            <w:bookmarkEnd w:id="317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color w:val="FF0000"/>
                <w:lang w:val="en-US" w:eastAsia="zh-CN"/>
              </w:rPr>
              <w:t xml:space="preserve">o following the existing requirement defined in clause </w:t>
            </w:r>
            <w:r>
              <w:rPr>
                <w:rFonts w:hint="default"/>
                <w:color w:val="FF0000"/>
              </w:rPr>
              <w:t>7.5A.1</w:t>
            </w:r>
            <w:r>
              <w:rPr>
                <w:rFonts w:hint="eastAsia"/>
                <w:color w:val="FF0000"/>
                <w:lang w:val="en-US" w:eastAsia="zh-CN"/>
              </w:rPr>
              <w:t xml:space="preserve"> with the following power to be updated for ATG UE.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0" w:afterAutospacing="0"/>
              <w:ind w:left="420" w:right="0" w:hanging="420"/>
              <w:jc w:val="left"/>
              <w:rPr>
                <w:rFonts w:hint="default"/>
              </w:rPr>
            </w:pPr>
            <w:r>
              <w:rPr>
                <w:rFonts w:hint="default"/>
              </w:rPr>
              <w:t>Pw in Transmission Bandwidth Configuration, per CC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0" w:afterAutospacing="0"/>
              <w:ind w:left="420" w:right="0" w:hanging="42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bCs/>
              </w:rPr>
              <w:t>P</w:t>
            </w:r>
            <w:r>
              <w:rPr>
                <w:rFonts w:hint="default"/>
                <w:bCs/>
                <w:vertAlign w:val="subscript"/>
              </w:rPr>
              <w:t>Interferer</w:t>
            </w:r>
            <w:r>
              <w:rPr>
                <w:rFonts w:hint="eastAsia"/>
                <w:bCs/>
                <w:vertAlign w:val="subscript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</w:rPr>
            </w:pPr>
            <w:bookmarkStart w:id="330" w:name="_Toc29802389"/>
            <w:bookmarkStart w:id="331" w:name="_Toc84414014"/>
            <w:bookmarkStart w:id="332" w:name="_Toc68231111"/>
            <w:bookmarkStart w:id="333" w:name="_Toc76718549"/>
            <w:bookmarkStart w:id="334" w:name="_Toc45888450"/>
            <w:bookmarkStart w:id="335" w:name="_Toc83580896"/>
            <w:bookmarkStart w:id="336" w:name="_Toc75467537"/>
            <w:bookmarkStart w:id="337" w:name="_Toc37251530"/>
            <w:bookmarkStart w:id="338" w:name="_Toc76509559"/>
            <w:bookmarkStart w:id="339" w:name="_Toc61367778"/>
            <w:bookmarkStart w:id="340" w:name="_Toc45889049"/>
            <w:bookmarkStart w:id="341" w:name="_Toc29801965"/>
            <w:bookmarkStart w:id="342" w:name="_Toc36107756"/>
            <w:bookmarkStart w:id="343" w:name="_Toc69084524"/>
            <w:bookmarkStart w:id="344" w:name="_Toc21344477"/>
            <w:bookmarkStart w:id="345" w:name="_Toc84405405"/>
            <w:bookmarkStart w:id="346" w:name="_Toc29803014"/>
            <w:bookmarkStart w:id="347" w:name="_Toc61373161"/>
            <w:r>
              <w:rPr>
                <w:rFonts w:hint="default"/>
              </w:rPr>
              <w:t>7.6A.2.1</w:t>
            </w:r>
            <w:r>
              <w:rPr>
                <w:rFonts w:hint="default"/>
              </w:rPr>
              <w:tab/>
            </w:r>
            <w:r>
              <w:rPr>
                <w:rFonts w:hint="default"/>
              </w:rPr>
              <w:t>In-band blocking for Intra-band contiguous CA</w:t>
            </w:r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To following the existing requirements defined in Clause </w:t>
            </w:r>
            <w:r>
              <w:rPr>
                <w:rFonts w:hint="default"/>
              </w:rPr>
              <w:t>7.6A.2.1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</w:rPr>
            </w:pPr>
            <w:bookmarkStart w:id="348" w:name="_Toc68231115"/>
            <w:bookmarkStart w:id="349" w:name="_Toc29801969"/>
            <w:bookmarkStart w:id="350" w:name="_Toc84414018"/>
            <w:bookmarkStart w:id="351" w:name="_Toc76509563"/>
            <w:bookmarkStart w:id="352" w:name="_Toc83580900"/>
            <w:bookmarkStart w:id="353" w:name="_Toc61367782"/>
            <w:bookmarkStart w:id="354" w:name="_Toc37251534"/>
            <w:bookmarkStart w:id="355" w:name="_Toc84405409"/>
            <w:bookmarkStart w:id="356" w:name="_Toc29802393"/>
            <w:bookmarkStart w:id="357" w:name="_Toc75467541"/>
            <w:bookmarkStart w:id="358" w:name="_Toc21344481"/>
            <w:bookmarkStart w:id="359" w:name="_Toc45888454"/>
            <w:bookmarkStart w:id="360" w:name="_Toc36107760"/>
            <w:bookmarkStart w:id="361" w:name="_Toc76718553"/>
            <w:bookmarkStart w:id="362" w:name="_Toc29803018"/>
            <w:bookmarkStart w:id="363" w:name="_Toc45889053"/>
            <w:bookmarkStart w:id="364" w:name="_Toc61373165"/>
            <w:bookmarkStart w:id="365" w:name="_Toc69084528"/>
            <w:r>
              <w:rPr>
                <w:rFonts w:hint="default"/>
              </w:rPr>
              <w:t>7.6A.3.1</w:t>
            </w:r>
            <w:r>
              <w:rPr>
                <w:rFonts w:hint="default"/>
              </w:rPr>
              <w:tab/>
            </w:r>
            <w:r>
              <w:rPr>
                <w:rFonts w:hint="default"/>
              </w:rPr>
              <w:t>Out-of-band blocking for Intra-band contiguous CA</w:t>
            </w:r>
            <w:bookmarkEnd w:id="348"/>
            <w:bookmarkEnd w:id="349"/>
            <w:bookmarkEnd w:id="350"/>
            <w:bookmarkEnd w:id="351"/>
            <w:bookmarkEnd w:id="352"/>
            <w:bookmarkEnd w:id="353"/>
            <w:bookmarkEnd w:id="354"/>
            <w:bookmarkEnd w:id="355"/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bookmarkEnd w:id="364"/>
            <w:bookmarkEnd w:id="365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To following the existing requirements defined in Clause </w:t>
            </w:r>
            <w:r>
              <w:rPr>
                <w:rFonts w:hint="default"/>
              </w:rPr>
              <w:t>7.6A.3.1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</w:rPr>
            </w:pPr>
            <w:bookmarkStart w:id="366" w:name="_Toc29803022"/>
            <w:bookmarkStart w:id="367" w:name="_Toc76509567"/>
            <w:bookmarkStart w:id="368" w:name="_Toc84405413"/>
            <w:bookmarkStart w:id="369" w:name="_Toc37251538"/>
            <w:bookmarkStart w:id="370" w:name="_Toc76718557"/>
            <w:bookmarkStart w:id="371" w:name="_Toc61373169"/>
            <w:bookmarkStart w:id="372" w:name="_Toc61367786"/>
            <w:bookmarkStart w:id="373" w:name="_Toc21344485"/>
            <w:bookmarkStart w:id="374" w:name="_Toc45888458"/>
            <w:bookmarkStart w:id="375" w:name="_Toc29801973"/>
            <w:bookmarkStart w:id="376" w:name="_Toc68231119"/>
            <w:bookmarkStart w:id="377" w:name="_Toc75467545"/>
            <w:bookmarkStart w:id="378" w:name="_Toc69084532"/>
            <w:bookmarkStart w:id="379" w:name="_Toc84414022"/>
            <w:bookmarkStart w:id="380" w:name="_Toc36107764"/>
            <w:bookmarkStart w:id="381" w:name="_Toc45889057"/>
            <w:bookmarkStart w:id="382" w:name="_Toc29802397"/>
            <w:bookmarkStart w:id="383" w:name="_Toc83580904"/>
            <w:r>
              <w:rPr>
                <w:rFonts w:hint="default"/>
              </w:rPr>
              <w:t>7.6A.4.1</w:t>
            </w:r>
            <w:r>
              <w:rPr>
                <w:rFonts w:hint="default"/>
              </w:rPr>
              <w:tab/>
            </w:r>
            <w:r>
              <w:rPr>
                <w:rFonts w:hint="default"/>
              </w:rPr>
              <w:t>Narrow band blocking for Intra-band contiguous CA</w:t>
            </w:r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</w:rPr>
            </w:pPr>
            <w:bookmarkStart w:id="384" w:name="_Toc75467573"/>
            <w:bookmarkStart w:id="385" w:name="_Toc29801984"/>
            <w:bookmarkStart w:id="386" w:name="_Toc61367814"/>
            <w:bookmarkStart w:id="387" w:name="_Toc69084560"/>
            <w:bookmarkStart w:id="388" w:name="_Toc45888478"/>
            <w:bookmarkStart w:id="389" w:name="_Toc37251549"/>
            <w:bookmarkStart w:id="390" w:name="_Toc36107775"/>
            <w:bookmarkStart w:id="391" w:name="_Toc21344496"/>
            <w:bookmarkStart w:id="392" w:name="_Toc84405441"/>
            <w:bookmarkStart w:id="393" w:name="_Toc68231147"/>
            <w:bookmarkStart w:id="394" w:name="_Toc84414050"/>
            <w:bookmarkStart w:id="395" w:name="_Toc29802408"/>
            <w:bookmarkStart w:id="396" w:name="_Toc83580932"/>
            <w:bookmarkStart w:id="397" w:name="_Toc29803033"/>
            <w:bookmarkStart w:id="398" w:name="_Toc76509595"/>
            <w:bookmarkStart w:id="399" w:name="_Toc61373197"/>
            <w:bookmarkStart w:id="400" w:name="_Toc45889077"/>
            <w:bookmarkStart w:id="401" w:name="_Toc76718585"/>
            <w:r>
              <w:rPr>
                <w:rFonts w:hint="default"/>
              </w:rPr>
              <w:t>7.7A.1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</w:rPr>
              <w:t>Spurious response for Intra-band contiguous CA</w:t>
            </w:r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To following the existing requirements defined in Clause </w:t>
            </w:r>
            <w:r>
              <w:rPr>
                <w:rFonts w:hint="default"/>
              </w:rPr>
              <w:t>7.7A.1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</w:rPr>
            </w:pPr>
            <w:bookmarkStart w:id="402" w:name="_Toc75467590"/>
            <w:bookmarkStart w:id="403" w:name="_Toc61367831"/>
            <w:bookmarkStart w:id="404" w:name="_Toc84414067"/>
            <w:bookmarkStart w:id="405" w:name="_Toc84405458"/>
            <w:bookmarkStart w:id="406" w:name="_Toc68231164"/>
            <w:bookmarkStart w:id="407" w:name="_Toc83580949"/>
            <w:bookmarkStart w:id="408" w:name="_Toc29803043"/>
            <w:bookmarkStart w:id="409" w:name="_Toc76509612"/>
            <w:bookmarkStart w:id="410" w:name="_Toc21344506"/>
            <w:bookmarkStart w:id="411" w:name="_Toc45889091"/>
            <w:bookmarkStart w:id="412" w:name="_Toc29801994"/>
            <w:bookmarkStart w:id="413" w:name="_Toc37251559"/>
            <w:bookmarkStart w:id="414" w:name="_Toc45888492"/>
            <w:bookmarkStart w:id="415" w:name="_Toc61373214"/>
            <w:bookmarkStart w:id="416" w:name="_Toc69084577"/>
            <w:bookmarkStart w:id="417" w:name="_Toc29802418"/>
            <w:bookmarkStart w:id="418" w:name="_Toc36107785"/>
            <w:bookmarkStart w:id="419" w:name="_Toc76718602"/>
            <w:r>
              <w:rPr>
                <w:rFonts w:hint="default"/>
              </w:rPr>
              <w:t>7.8A.2.1</w:t>
            </w:r>
            <w:r>
              <w:rPr>
                <w:rFonts w:hint="default"/>
              </w:rPr>
              <w:tab/>
            </w:r>
            <w:r>
              <w:rPr>
                <w:rFonts w:hint="default"/>
              </w:rPr>
              <w:t>Wide band intermodulation for Intra-band contiguous CA</w:t>
            </w:r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To following the existing requirements defined in Clause </w:t>
            </w:r>
            <w:r>
              <w:rPr>
                <w:rFonts w:hint="default"/>
              </w:rPr>
              <w:t>7.8A.2.1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>
      <w:pPr>
        <w:pageBreakBefore w:val="0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2127"/>
        </w:tabs>
        <w:kinsoku/>
        <w:wordWrap/>
        <w:overflowPunct/>
        <w:topLinePunct w:val="0"/>
        <w:autoSpaceDE/>
        <w:autoSpaceDN/>
        <w:bidi w:val="0"/>
        <w:snapToGrid/>
        <w:spacing w:after="0"/>
        <w:ind w:leftChars="0"/>
        <w:textAlignment w:val="auto"/>
        <w:rPr>
          <w:rFonts w:hint="default"/>
          <w:lang w:val="en-US" w:eastAsia="zh-CN"/>
        </w:rPr>
      </w:pPr>
    </w:p>
    <w:bookmarkEnd w:id="2"/>
    <w:bookmarkEnd w:id="3"/>
    <w:bookmarkEnd w:id="4"/>
    <w:bookmarkEnd w:id="5"/>
    <w:p>
      <w:pPr>
        <w:pStyle w:val="57"/>
        <w:tabs>
          <w:tab w:val="left" w:pos="567"/>
          <w:tab w:val="clear" w:pos="1985"/>
        </w:tabs>
        <w:adjustRightInd w:val="0"/>
        <w:ind w:left="510" w:hanging="510"/>
      </w:pPr>
      <w:r>
        <w:t>Conclusions</w:t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</w:rPr>
        <w:t>In this contribution,</w:t>
      </w:r>
      <w:r>
        <w:rPr>
          <w:rFonts w:hint="eastAsia" w:eastAsiaTheme="minorEastAsia"/>
          <w:lang w:val="en-US" w:eastAsia="zh-CN"/>
        </w:rPr>
        <w:t xml:space="preserve"> we shared some further views on the RF requirements for ATG UE supporting intra-band DL CA and proposals are made as following: </w:t>
      </w:r>
    </w:p>
    <w:p>
      <w:pPr>
        <w:tabs>
          <w:tab w:val="left" w:pos="2127"/>
        </w:tabs>
        <w:spacing w:after="0"/>
        <w:rPr>
          <w:rFonts w:hint="eastAsia" w:eastAsiaTheme="minor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</w:t>
      </w:r>
      <w:r>
        <w:rPr>
          <w:rFonts w:hint="eastAsia"/>
          <w:lang w:val="en-US" w:eastAsia="zh-CN"/>
        </w:rPr>
        <w:t>: use BCS0 for band combination n79C if there are no practical market demand for 10/20/30/70MHz channel bandwidth.</w:t>
      </w:r>
    </w:p>
    <w:p>
      <w:pPr>
        <w:keepNext w:val="0"/>
        <w:keepLines w:val="0"/>
        <w:widowControl/>
        <w:suppressLineNumbers w:val="0"/>
        <w:spacing w:before="0" w:beforeAutospacing="0" w:afterAutospacing="0"/>
        <w:ind w:left="0" w:right="0"/>
        <w:jc w:val="left"/>
        <w:rPr>
          <w:rFonts w:hint="default"/>
          <w:highlight w:val="none"/>
          <w:lang w:val="en-US" w:eastAsia="zh-CN"/>
        </w:rPr>
      </w:pPr>
      <w:r>
        <w:rPr>
          <w:rFonts w:hint="eastAsia"/>
          <w:b/>
          <w:bCs/>
          <w:highlight w:val="none"/>
          <w:lang w:val="en-US" w:eastAsia="zh-CN"/>
        </w:rPr>
        <w:t>Proposal 2</w:t>
      </w:r>
      <w:r>
        <w:rPr>
          <w:rFonts w:hint="eastAsia"/>
          <w:highlight w:val="none"/>
          <w:lang w:val="en-US" w:eastAsia="zh-CN"/>
        </w:rPr>
        <w:t xml:space="preserve">: for RF requirements for inter-band DL CA, refer to the proposals in table 2. </w:t>
      </w:r>
    </w:p>
    <w:p>
      <w:pPr>
        <w:pStyle w:val="57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>
      <w:pPr>
        <w:pStyle w:val="55"/>
        <w:numPr>
          <w:ilvl w:val="0"/>
          <w:numId w:val="5"/>
        </w:numPr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>RP-240839,New WID on Enhancements for Air-to-ground network for NR, Approved.</w:t>
      </w:r>
    </w:p>
    <w:p>
      <w:pPr>
        <w:pStyle w:val="55"/>
        <w:numPr>
          <w:ilvl w:val="0"/>
          <w:numId w:val="5"/>
        </w:numPr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fldChar w:fldCharType="begin"/>
      </w:r>
      <w:r>
        <w:rPr>
          <w:rFonts w:hint="eastAsia" w:eastAsia="宋体"/>
          <w:sz w:val="20"/>
          <w:szCs w:val="20"/>
          <w:lang w:val="en-US" w:eastAsia="zh-CN"/>
        </w:rPr>
        <w:instrText xml:space="preserve"> HYPERLINK "http://portal.3gpp.org/ngppapp/DownloadTDoc.aspx?contributionUid=R4-2321919" \o "Download Tdoc" \t "https://portal.3gpp.org/" \l "/_blank" </w:instrText>
      </w:r>
      <w:r>
        <w:rPr>
          <w:rFonts w:hint="eastAsia" w:eastAsia="宋体"/>
          <w:sz w:val="20"/>
          <w:szCs w:val="20"/>
          <w:lang w:val="en-US" w:eastAsia="zh-CN"/>
        </w:rPr>
        <w:fldChar w:fldCharType="separate"/>
      </w:r>
      <w:r>
        <w:rPr>
          <w:rFonts w:hint="default" w:eastAsia="宋体"/>
          <w:sz w:val="20"/>
          <w:szCs w:val="20"/>
          <w:lang w:val="en-US" w:eastAsia="zh-CN"/>
        </w:rPr>
        <w:t>R4-2321919</w:t>
      </w:r>
      <w:r>
        <w:rPr>
          <w:rFonts w:hint="default" w:eastAsia="宋体"/>
          <w:sz w:val="20"/>
          <w:szCs w:val="20"/>
          <w:lang w:val="en-US" w:eastAsia="zh-CN"/>
        </w:rPr>
        <w:fldChar w:fldCharType="end"/>
      </w:r>
      <w:r>
        <w:rPr>
          <w:rFonts w:hint="eastAsia" w:eastAsia="宋体"/>
          <w:sz w:val="20"/>
          <w:szCs w:val="20"/>
          <w:lang w:val="en-US" w:eastAsia="zh-CN"/>
        </w:rPr>
        <w:t>,Big CR for TS 38.101-1 for NR ATG, Agreed.</w:t>
      </w:r>
    </w:p>
    <w:p>
      <w:pPr>
        <w:pStyle w:val="55"/>
        <w:numPr>
          <w:ilvl w:val="0"/>
          <w:numId w:val="5"/>
        </w:numPr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fldChar w:fldCharType="begin"/>
      </w:r>
      <w:r>
        <w:rPr>
          <w:rFonts w:hint="eastAsia" w:eastAsia="宋体"/>
          <w:sz w:val="20"/>
          <w:szCs w:val="20"/>
          <w:lang w:val="en-US" w:eastAsia="zh-CN"/>
        </w:rPr>
        <w:instrText xml:space="preserve"> HYPERLINK "http://portal.3gpp.org/ngppapp/DownloadTDoc.aspx?contributionUid=R4-2403864" \o "Download Tdoc" \t "https://portal.3gpp.org/" \l "/_blank" </w:instrText>
      </w:r>
      <w:r>
        <w:rPr>
          <w:rFonts w:hint="eastAsia" w:eastAsia="宋体"/>
          <w:sz w:val="20"/>
          <w:szCs w:val="20"/>
          <w:lang w:val="en-US" w:eastAsia="zh-CN"/>
        </w:rPr>
        <w:fldChar w:fldCharType="separate"/>
      </w:r>
      <w:r>
        <w:rPr>
          <w:rFonts w:hint="default" w:eastAsia="宋体"/>
          <w:sz w:val="20"/>
          <w:szCs w:val="20"/>
          <w:lang w:val="en-US" w:eastAsia="zh-CN"/>
        </w:rPr>
        <w:t>R4-2403864</w:t>
      </w:r>
      <w:r>
        <w:rPr>
          <w:rFonts w:hint="default" w:eastAsia="宋体"/>
          <w:sz w:val="20"/>
          <w:szCs w:val="20"/>
          <w:lang w:val="en-US" w:eastAsia="zh-CN"/>
        </w:rPr>
        <w:fldChar w:fldCharType="end"/>
      </w:r>
      <w:r>
        <w:rPr>
          <w:rFonts w:hint="eastAsia" w:eastAsia="宋体"/>
          <w:sz w:val="20"/>
          <w:szCs w:val="20"/>
          <w:lang w:val="en-US" w:eastAsia="zh-CN"/>
        </w:rPr>
        <w:t>, CR for 38101-1 to update ATG related signaling name, Agreed</w:t>
      </w:r>
    </w:p>
    <w:p>
      <w:pPr>
        <w:pStyle w:val="55"/>
        <w:numPr>
          <w:ilvl w:val="0"/>
          <w:numId w:val="5"/>
        </w:numPr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fldChar w:fldCharType="begin"/>
      </w:r>
      <w:r>
        <w:rPr>
          <w:rFonts w:hint="eastAsia" w:eastAsia="宋体"/>
          <w:sz w:val="20"/>
          <w:szCs w:val="20"/>
          <w:lang w:val="en-US" w:eastAsia="zh-CN"/>
        </w:rPr>
        <w:instrText xml:space="preserve"> HYPERLINK "http://10.10.10.10/ftp/RAN/RAN4/Inbox/R4-2406594.zip" </w:instrText>
      </w:r>
      <w:r>
        <w:rPr>
          <w:rFonts w:hint="eastAsia" w:eastAsia="宋体"/>
          <w:sz w:val="20"/>
          <w:szCs w:val="20"/>
          <w:lang w:val="en-US" w:eastAsia="zh-CN"/>
        </w:rPr>
        <w:fldChar w:fldCharType="separate"/>
      </w:r>
      <w:r>
        <w:rPr>
          <w:rFonts w:hint="eastAsia" w:eastAsia="宋体"/>
          <w:sz w:val="20"/>
          <w:szCs w:val="20"/>
          <w:lang w:val="en-US" w:eastAsia="zh-CN"/>
        </w:rPr>
        <w:t>R4-2406594</w:t>
      </w:r>
      <w:r>
        <w:rPr>
          <w:rFonts w:hint="eastAsia" w:eastAsia="宋体"/>
          <w:sz w:val="20"/>
          <w:szCs w:val="20"/>
          <w:lang w:val="en-US" w:eastAsia="zh-CN"/>
        </w:rPr>
        <w:fldChar w:fldCharType="end"/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rFonts w:hint="eastAsia" w:eastAsia="宋体"/>
          <w:sz w:val="20"/>
          <w:szCs w:val="20"/>
          <w:lang w:val="en-US" w:eastAsia="zh-CN"/>
        </w:rPr>
        <w:t>WF on Rel-19 ATG UE requirements</w:t>
      </w:r>
      <w:r>
        <w:rPr>
          <w:rFonts w:hint="eastAsia"/>
          <w:sz w:val="20"/>
          <w:szCs w:val="20"/>
          <w:lang w:val="en-US" w:eastAsia="zh-CN"/>
        </w:rPr>
        <w:t>, Approved.</w:t>
      </w:r>
    </w:p>
    <w:p>
      <w:pPr>
        <w:pStyle w:val="55"/>
        <w:numPr>
          <w:ilvl w:val="-1"/>
          <w:numId w:val="0"/>
        </w:numPr>
        <w:rPr>
          <w:sz w:val="20"/>
          <w:szCs w:val="20"/>
        </w:rPr>
      </w:pPr>
    </w:p>
    <w:p>
      <w:pPr>
        <w:pStyle w:val="21"/>
        <w:shd w:val="clear" w:color="auto" w:fill="FFFFFF"/>
        <w:spacing w:before="60" w:beforeAutospacing="0" w:after="0" w:afterAutospacing="0" w:line="300" w:lineRule="atLeast"/>
        <w:rPr>
          <w:rStyle w:val="30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5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Nova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Helvetica Neue">
    <w:altName w:val="Sylfaen"/>
    <w:panose1 w:val="00000000000000000000"/>
    <w:charset w:val="00"/>
    <w:family w:val="auto"/>
    <w:pitch w:val="default"/>
    <w:sig w:usb0="00000000" w:usb1="00000000" w:usb2="00000010" w:usb3="00000000" w:csb0="000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1F5B83"/>
    <w:multiLevelType w:val="singleLevel"/>
    <w:tmpl w:val="AC1F5B83"/>
    <w:lvl w:ilvl="0" w:tentative="0">
      <w:start w:val="1"/>
      <w:numFmt w:val="bullet"/>
      <w:lvlText w:val="−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abstractNum w:abstractNumId="1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3">
    <w:nsid w:val="5D177F5E"/>
    <w:multiLevelType w:val="multilevel"/>
    <w:tmpl w:val="5D177F5E"/>
    <w:lvl w:ilvl="0" w:tentative="0">
      <w:start w:val="1"/>
      <w:numFmt w:val="decimal"/>
      <w:pStyle w:val="57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>
    <w:nsid w:val="6E20089C"/>
    <w:multiLevelType w:val="multilevel"/>
    <w:tmpl w:val="6E20089C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6534"/>
    <w:rsid w:val="00057806"/>
    <w:rsid w:val="00057BFB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D73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736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6C0D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66B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6EA9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35D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6ABA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2F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B4A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4F9"/>
    <w:rsid w:val="006B1780"/>
    <w:rsid w:val="006B1DA7"/>
    <w:rsid w:val="006B1DF7"/>
    <w:rsid w:val="006B1E72"/>
    <w:rsid w:val="006B1ED5"/>
    <w:rsid w:val="006B204C"/>
    <w:rsid w:val="006B2251"/>
    <w:rsid w:val="006B2400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212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1B1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16D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0EC7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5E1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08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39B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17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5C53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1A38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C90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83C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8B8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4FF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5324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CA4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8A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50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19E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29C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194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84B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ED5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121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5E0E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85A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055E2A"/>
    <w:rsid w:val="010E6EE3"/>
    <w:rsid w:val="01115B33"/>
    <w:rsid w:val="0112068B"/>
    <w:rsid w:val="01133912"/>
    <w:rsid w:val="01164A78"/>
    <w:rsid w:val="011B7946"/>
    <w:rsid w:val="01237C8B"/>
    <w:rsid w:val="012823DD"/>
    <w:rsid w:val="012A6A7A"/>
    <w:rsid w:val="012B6D59"/>
    <w:rsid w:val="013A4C94"/>
    <w:rsid w:val="01417D3E"/>
    <w:rsid w:val="01442D89"/>
    <w:rsid w:val="01522256"/>
    <w:rsid w:val="01586859"/>
    <w:rsid w:val="01594895"/>
    <w:rsid w:val="015C06BF"/>
    <w:rsid w:val="015D1618"/>
    <w:rsid w:val="015F18F2"/>
    <w:rsid w:val="015F5FA3"/>
    <w:rsid w:val="016800B9"/>
    <w:rsid w:val="017059E0"/>
    <w:rsid w:val="0171654A"/>
    <w:rsid w:val="0173280C"/>
    <w:rsid w:val="01791D2E"/>
    <w:rsid w:val="01821D8F"/>
    <w:rsid w:val="01864D3B"/>
    <w:rsid w:val="018C2266"/>
    <w:rsid w:val="018C3642"/>
    <w:rsid w:val="018D7DCE"/>
    <w:rsid w:val="0195201D"/>
    <w:rsid w:val="019C3DA8"/>
    <w:rsid w:val="019E267E"/>
    <w:rsid w:val="01A402CD"/>
    <w:rsid w:val="01A742A2"/>
    <w:rsid w:val="01A952B0"/>
    <w:rsid w:val="01B330C9"/>
    <w:rsid w:val="01BE34DB"/>
    <w:rsid w:val="01BE6ACE"/>
    <w:rsid w:val="01C027D4"/>
    <w:rsid w:val="01C14745"/>
    <w:rsid w:val="01C32135"/>
    <w:rsid w:val="01CB0428"/>
    <w:rsid w:val="01CB7A2C"/>
    <w:rsid w:val="01CF07AE"/>
    <w:rsid w:val="01D311AE"/>
    <w:rsid w:val="01D518FC"/>
    <w:rsid w:val="01D615E1"/>
    <w:rsid w:val="01E1598F"/>
    <w:rsid w:val="01E268ED"/>
    <w:rsid w:val="01E73907"/>
    <w:rsid w:val="01EB317B"/>
    <w:rsid w:val="01EB414A"/>
    <w:rsid w:val="01ED0229"/>
    <w:rsid w:val="01F17B19"/>
    <w:rsid w:val="01F219C7"/>
    <w:rsid w:val="01F33D9D"/>
    <w:rsid w:val="01F60577"/>
    <w:rsid w:val="02016155"/>
    <w:rsid w:val="020F4070"/>
    <w:rsid w:val="021042F2"/>
    <w:rsid w:val="021A2C38"/>
    <w:rsid w:val="021D2604"/>
    <w:rsid w:val="021F7108"/>
    <w:rsid w:val="022533D4"/>
    <w:rsid w:val="02293A2A"/>
    <w:rsid w:val="022D2A1C"/>
    <w:rsid w:val="022D5BF3"/>
    <w:rsid w:val="022F6559"/>
    <w:rsid w:val="022F66E0"/>
    <w:rsid w:val="023635A6"/>
    <w:rsid w:val="0238292F"/>
    <w:rsid w:val="023A0A2B"/>
    <w:rsid w:val="023E7088"/>
    <w:rsid w:val="0240545F"/>
    <w:rsid w:val="02405857"/>
    <w:rsid w:val="024504DC"/>
    <w:rsid w:val="024C0ED1"/>
    <w:rsid w:val="024C13AB"/>
    <w:rsid w:val="024C4285"/>
    <w:rsid w:val="02532AA9"/>
    <w:rsid w:val="025732DD"/>
    <w:rsid w:val="025C0F66"/>
    <w:rsid w:val="0262197E"/>
    <w:rsid w:val="026D13E1"/>
    <w:rsid w:val="027035EC"/>
    <w:rsid w:val="027B4322"/>
    <w:rsid w:val="027C5C43"/>
    <w:rsid w:val="02803683"/>
    <w:rsid w:val="028748E0"/>
    <w:rsid w:val="02892A7A"/>
    <w:rsid w:val="02927A98"/>
    <w:rsid w:val="029342BD"/>
    <w:rsid w:val="029D3139"/>
    <w:rsid w:val="02A12134"/>
    <w:rsid w:val="02A45D67"/>
    <w:rsid w:val="02AA2805"/>
    <w:rsid w:val="02AF6836"/>
    <w:rsid w:val="02B06DC0"/>
    <w:rsid w:val="02B31189"/>
    <w:rsid w:val="02B85839"/>
    <w:rsid w:val="02C6057C"/>
    <w:rsid w:val="02C86D51"/>
    <w:rsid w:val="02CE3DD2"/>
    <w:rsid w:val="02D204DD"/>
    <w:rsid w:val="02D36626"/>
    <w:rsid w:val="02D72CF0"/>
    <w:rsid w:val="02DB3978"/>
    <w:rsid w:val="02DC6BBC"/>
    <w:rsid w:val="02E3271D"/>
    <w:rsid w:val="02E929C0"/>
    <w:rsid w:val="02F573DC"/>
    <w:rsid w:val="02F95CD1"/>
    <w:rsid w:val="02FF1F3E"/>
    <w:rsid w:val="030005FD"/>
    <w:rsid w:val="03001C79"/>
    <w:rsid w:val="030150CB"/>
    <w:rsid w:val="030313BA"/>
    <w:rsid w:val="03142F2C"/>
    <w:rsid w:val="0315569B"/>
    <w:rsid w:val="031712C4"/>
    <w:rsid w:val="03186045"/>
    <w:rsid w:val="031967AA"/>
    <w:rsid w:val="031A5DF1"/>
    <w:rsid w:val="031E0FAC"/>
    <w:rsid w:val="031E4C95"/>
    <w:rsid w:val="03251730"/>
    <w:rsid w:val="03260F70"/>
    <w:rsid w:val="03284E77"/>
    <w:rsid w:val="032907E2"/>
    <w:rsid w:val="03290A22"/>
    <w:rsid w:val="032C55B7"/>
    <w:rsid w:val="032E4DBB"/>
    <w:rsid w:val="0332111E"/>
    <w:rsid w:val="03332CAE"/>
    <w:rsid w:val="03343BC7"/>
    <w:rsid w:val="033773F8"/>
    <w:rsid w:val="033D44BC"/>
    <w:rsid w:val="033F42EC"/>
    <w:rsid w:val="033F52A3"/>
    <w:rsid w:val="033F7E0C"/>
    <w:rsid w:val="03402EB3"/>
    <w:rsid w:val="03434B6B"/>
    <w:rsid w:val="034C342E"/>
    <w:rsid w:val="034E41AA"/>
    <w:rsid w:val="0354325C"/>
    <w:rsid w:val="035C4C68"/>
    <w:rsid w:val="035D2EB4"/>
    <w:rsid w:val="03651217"/>
    <w:rsid w:val="03687ADD"/>
    <w:rsid w:val="03696DA6"/>
    <w:rsid w:val="036A231E"/>
    <w:rsid w:val="03774924"/>
    <w:rsid w:val="03822F79"/>
    <w:rsid w:val="03876945"/>
    <w:rsid w:val="038B3715"/>
    <w:rsid w:val="039568DC"/>
    <w:rsid w:val="0395764C"/>
    <w:rsid w:val="039B69FD"/>
    <w:rsid w:val="03A32E58"/>
    <w:rsid w:val="03AC2829"/>
    <w:rsid w:val="03B728E0"/>
    <w:rsid w:val="03BC2B3B"/>
    <w:rsid w:val="03C0647A"/>
    <w:rsid w:val="03C4766B"/>
    <w:rsid w:val="03C6618A"/>
    <w:rsid w:val="03C80D80"/>
    <w:rsid w:val="03CD06E1"/>
    <w:rsid w:val="03CD6E1F"/>
    <w:rsid w:val="03CF6F0E"/>
    <w:rsid w:val="03D077B2"/>
    <w:rsid w:val="03D2121B"/>
    <w:rsid w:val="03D32BD3"/>
    <w:rsid w:val="03D4427A"/>
    <w:rsid w:val="03E54642"/>
    <w:rsid w:val="03F54B29"/>
    <w:rsid w:val="03F81356"/>
    <w:rsid w:val="03F947E9"/>
    <w:rsid w:val="03FC7097"/>
    <w:rsid w:val="03FF3D36"/>
    <w:rsid w:val="04017264"/>
    <w:rsid w:val="04034FE6"/>
    <w:rsid w:val="040B2442"/>
    <w:rsid w:val="040C386D"/>
    <w:rsid w:val="040C6238"/>
    <w:rsid w:val="040E704D"/>
    <w:rsid w:val="041126FA"/>
    <w:rsid w:val="041875C1"/>
    <w:rsid w:val="04193A43"/>
    <w:rsid w:val="04225784"/>
    <w:rsid w:val="04252816"/>
    <w:rsid w:val="04253E8F"/>
    <w:rsid w:val="042C7CF9"/>
    <w:rsid w:val="04343972"/>
    <w:rsid w:val="043711E5"/>
    <w:rsid w:val="04376B0F"/>
    <w:rsid w:val="04423926"/>
    <w:rsid w:val="0444143C"/>
    <w:rsid w:val="0444783F"/>
    <w:rsid w:val="044753DC"/>
    <w:rsid w:val="045835A5"/>
    <w:rsid w:val="045C0E21"/>
    <w:rsid w:val="045E1DEE"/>
    <w:rsid w:val="045F0F0B"/>
    <w:rsid w:val="045F23BF"/>
    <w:rsid w:val="04605B56"/>
    <w:rsid w:val="04671100"/>
    <w:rsid w:val="046E568E"/>
    <w:rsid w:val="04786E64"/>
    <w:rsid w:val="04786ED3"/>
    <w:rsid w:val="04811E74"/>
    <w:rsid w:val="04856247"/>
    <w:rsid w:val="04865E52"/>
    <w:rsid w:val="04867A48"/>
    <w:rsid w:val="04875104"/>
    <w:rsid w:val="048829D4"/>
    <w:rsid w:val="049B40DC"/>
    <w:rsid w:val="04A128B3"/>
    <w:rsid w:val="04A3117E"/>
    <w:rsid w:val="04C21862"/>
    <w:rsid w:val="04C6655F"/>
    <w:rsid w:val="04CD2C67"/>
    <w:rsid w:val="04D66461"/>
    <w:rsid w:val="04D95F6F"/>
    <w:rsid w:val="04E06510"/>
    <w:rsid w:val="04ED5A99"/>
    <w:rsid w:val="04FB4499"/>
    <w:rsid w:val="04FF76AB"/>
    <w:rsid w:val="05010225"/>
    <w:rsid w:val="051034CD"/>
    <w:rsid w:val="051F43BC"/>
    <w:rsid w:val="052432F7"/>
    <w:rsid w:val="05280A89"/>
    <w:rsid w:val="052A278C"/>
    <w:rsid w:val="052D14A7"/>
    <w:rsid w:val="05367F8C"/>
    <w:rsid w:val="053C34DE"/>
    <w:rsid w:val="053E1AC2"/>
    <w:rsid w:val="053E6829"/>
    <w:rsid w:val="05403ABE"/>
    <w:rsid w:val="0545651B"/>
    <w:rsid w:val="05564384"/>
    <w:rsid w:val="05583DC1"/>
    <w:rsid w:val="055A77BF"/>
    <w:rsid w:val="055C5DB2"/>
    <w:rsid w:val="055C75CE"/>
    <w:rsid w:val="05631D30"/>
    <w:rsid w:val="05687505"/>
    <w:rsid w:val="05734531"/>
    <w:rsid w:val="05784E56"/>
    <w:rsid w:val="057C7AAB"/>
    <w:rsid w:val="057F0408"/>
    <w:rsid w:val="05804262"/>
    <w:rsid w:val="05816D10"/>
    <w:rsid w:val="058E6ED4"/>
    <w:rsid w:val="05930F73"/>
    <w:rsid w:val="05940F3F"/>
    <w:rsid w:val="05991C8F"/>
    <w:rsid w:val="059E152E"/>
    <w:rsid w:val="059F1811"/>
    <w:rsid w:val="05A07D47"/>
    <w:rsid w:val="05A706E9"/>
    <w:rsid w:val="05AD341A"/>
    <w:rsid w:val="05B11A20"/>
    <w:rsid w:val="05B173DC"/>
    <w:rsid w:val="05B27D07"/>
    <w:rsid w:val="05B658ED"/>
    <w:rsid w:val="05B709C2"/>
    <w:rsid w:val="05BC079D"/>
    <w:rsid w:val="05BE42A5"/>
    <w:rsid w:val="05C1056D"/>
    <w:rsid w:val="05C256BE"/>
    <w:rsid w:val="05CC32B8"/>
    <w:rsid w:val="05CE30B5"/>
    <w:rsid w:val="05D16BC6"/>
    <w:rsid w:val="05DC2707"/>
    <w:rsid w:val="05E660EA"/>
    <w:rsid w:val="05E73462"/>
    <w:rsid w:val="05EB0F6A"/>
    <w:rsid w:val="05EE3B4E"/>
    <w:rsid w:val="05FA1213"/>
    <w:rsid w:val="05FB01BC"/>
    <w:rsid w:val="05FF3135"/>
    <w:rsid w:val="060030B7"/>
    <w:rsid w:val="060836A6"/>
    <w:rsid w:val="060C4293"/>
    <w:rsid w:val="060C5B07"/>
    <w:rsid w:val="060D249E"/>
    <w:rsid w:val="06111076"/>
    <w:rsid w:val="061146F4"/>
    <w:rsid w:val="062362D5"/>
    <w:rsid w:val="062734D4"/>
    <w:rsid w:val="062D742E"/>
    <w:rsid w:val="062E1E31"/>
    <w:rsid w:val="06382A58"/>
    <w:rsid w:val="063F20A9"/>
    <w:rsid w:val="064001EE"/>
    <w:rsid w:val="0646400E"/>
    <w:rsid w:val="06474EFD"/>
    <w:rsid w:val="064767A0"/>
    <w:rsid w:val="06493A8C"/>
    <w:rsid w:val="064A35EA"/>
    <w:rsid w:val="064B521E"/>
    <w:rsid w:val="064B6477"/>
    <w:rsid w:val="064C2727"/>
    <w:rsid w:val="065740AF"/>
    <w:rsid w:val="065A56A2"/>
    <w:rsid w:val="065E4C7F"/>
    <w:rsid w:val="0665756F"/>
    <w:rsid w:val="066F6122"/>
    <w:rsid w:val="06735C62"/>
    <w:rsid w:val="067570AB"/>
    <w:rsid w:val="06776362"/>
    <w:rsid w:val="067B39B4"/>
    <w:rsid w:val="067D28AB"/>
    <w:rsid w:val="06805AC5"/>
    <w:rsid w:val="06836FEC"/>
    <w:rsid w:val="068523FB"/>
    <w:rsid w:val="06852909"/>
    <w:rsid w:val="068A178F"/>
    <w:rsid w:val="068C6317"/>
    <w:rsid w:val="068C6A99"/>
    <w:rsid w:val="069B1966"/>
    <w:rsid w:val="06A22FF5"/>
    <w:rsid w:val="06A32A23"/>
    <w:rsid w:val="06A55EB9"/>
    <w:rsid w:val="06AE0568"/>
    <w:rsid w:val="06AF116F"/>
    <w:rsid w:val="06B506C7"/>
    <w:rsid w:val="06B548E2"/>
    <w:rsid w:val="06BA7F49"/>
    <w:rsid w:val="06BB4F9D"/>
    <w:rsid w:val="06C72EBF"/>
    <w:rsid w:val="06C9247F"/>
    <w:rsid w:val="06CA43E9"/>
    <w:rsid w:val="06CD3A64"/>
    <w:rsid w:val="06CD47D4"/>
    <w:rsid w:val="06DB688D"/>
    <w:rsid w:val="06DF7EFF"/>
    <w:rsid w:val="06E015C3"/>
    <w:rsid w:val="06E662B4"/>
    <w:rsid w:val="06E85678"/>
    <w:rsid w:val="06EF6236"/>
    <w:rsid w:val="06F30672"/>
    <w:rsid w:val="06F35A7A"/>
    <w:rsid w:val="06F35AB6"/>
    <w:rsid w:val="06F66B05"/>
    <w:rsid w:val="0702074E"/>
    <w:rsid w:val="0708086F"/>
    <w:rsid w:val="070F34C5"/>
    <w:rsid w:val="071A77D5"/>
    <w:rsid w:val="071D08AB"/>
    <w:rsid w:val="07220D76"/>
    <w:rsid w:val="07233462"/>
    <w:rsid w:val="072717DA"/>
    <w:rsid w:val="07277193"/>
    <w:rsid w:val="072B7E46"/>
    <w:rsid w:val="072F2139"/>
    <w:rsid w:val="07330557"/>
    <w:rsid w:val="073B285A"/>
    <w:rsid w:val="073F4D45"/>
    <w:rsid w:val="07420D70"/>
    <w:rsid w:val="07436058"/>
    <w:rsid w:val="074E566F"/>
    <w:rsid w:val="074F3DF9"/>
    <w:rsid w:val="07537C92"/>
    <w:rsid w:val="075670A4"/>
    <w:rsid w:val="075917DC"/>
    <w:rsid w:val="075A6071"/>
    <w:rsid w:val="075E667A"/>
    <w:rsid w:val="07614573"/>
    <w:rsid w:val="07660D5A"/>
    <w:rsid w:val="07665169"/>
    <w:rsid w:val="076C4DBE"/>
    <w:rsid w:val="076E4691"/>
    <w:rsid w:val="076F4BA4"/>
    <w:rsid w:val="07731BE6"/>
    <w:rsid w:val="0774710B"/>
    <w:rsid w:val="07750A92"/>
    <w:rsid w:val="077F531B"/>
    <w:rsid w:val="077F542D"/>
    <w:rsid w:val="077F5D16"/>
    <w:rsid w:val="07817B19"/>
    <w:rsid w:val="07844F85"/>
    <w:rsid w:val="07896FC7"/>
    <w:rsid w:val="078B062A"/>
    <w:rsid w:val="07916BE4"/>
    <w:rsid w:val="079233D0"/>
    <w:rsid w:val="079E798A"/>
    <w:rsid w:val="07A20864"/>
    <w:rsid w:val="07A2728D"/>
    <w:rsid w:val="07A80D41"/>
    <w:rsid w:val="07AA3E51"/>
    <w:rsid w:val="07BE51B2"/>
    <w:rsid w:val="07BF6455"/>
    <w:rsid w:val="07C126DC"/>
    <w:rsid w:val="07CA4016"/>
    <w:rsid w:val="07D34041"/>
    <w:rsid w:val="07D54951"/>
    <w:rsid w:val="07D835FB"/>
    <w:rsid w:val="07DD018B"/>
    <w:rsid w:val="07E014BE"/>
    <w:rsid w:val="07E04AA8"/>
    <w:rsid w:val="07E17538"/>
    <w:rsid w:val="07E53700"/>
    <w:rsid w:val="07E85751"/>
    <w:rsid w:val="07E9538F"/>
    <w:rsid w:val="07ED5339"/>
    <w:rsid w:val="07F6635B"/>
    <w:rsid w:val="07F70823"/>
    <w:rsid w:val="07F97CF9"/>
    <w:rsid w:val="0800676F"/>
    <w:rsid w:val="080511A2"/>
    <w:rsid w:val="080F4BCD"/>
    <w:rsid w:val="08171593"/>
    <w:rsid w:val="0827264B"/>
    <w:rsid w:val="082A0972"/>
    <w:rsid w:val="0835476E"/>
    <w:rsid w:val="08367FC2"/>
    <w:rsid w:val="08391661"/>
    <w:rsid w:val="084E0029"/>
    <w:rsid w:val="08550FFB"/>
    <w:rsid w:val="085B2B84"/>
    <w:rsid w:val="085B5CAA"/>
    <w:rsid w:val="085D6C7E"/>
    <w:rsid w:val="085F0F7F"/>
    <w:rsid w:val="08611CAF"/>
    <w:rsid w:val="0865781A"/>
    <w:rsid w:val="0866133E"/>
    <w:rsid w:val="08692F64"/>
    <w:rsid w:val="087716A2"/>
    <w:rsid w:val="08780590"/>
    <w:rsid w:val="087E046C"/>
    <w:rsid w:val="08813C88"/>
    <w:rsid w:val="088D794D"/>
    <w:rsid w:val="08942BDF"/>
    <w:rsid w:val="089852F1"/>
    <w:rsid w:val="08990610"/>
    <w:rsid w:val="089B5449"/>
    <w:rsid w:val="089D6B7D"/>
    <w:rsid w:val="08A03B5E"/>
    <w:rsid w:val="08A275F2"/>
    <w:rsid w:val="08A6215D"/>
    <w:rsid w:val="08B21918"/>
    <w:rsid w:val="08B40442"/>
    <w:rsid w:val="08B94847"/>
    <w:rsid w:val="08C14001"/>
    <w:rsid w:val="08C83275"/>
    <w:rsid w:val="08CF2EF9"/>
    <w:rsid w:val="08D836B6"/>
    <w:rsid w:val="08D964D0"/>
    <w:rsid w:val="08E05424"/>
    <w:rsid w:val="08F10FA0"/>
    <w:rsid w:val="08F1525E"/>
    <w:rsid w:val="08F5200D"/>
    <w:rsid w:val="08F87A74"/>
    <w:rsid w:val="08F911CC"/>
    <w:rsid w:val="09016732"/>
    <w:rsid w:val="09127CF4"/>
    <w:rsid w:val="09157ADC"/>
    <w:rsid w:val="09157E5B"/>
    <w:rsid w:val="091647BE"/>
    <w:rsid w:val="091C6E55"/>
    <w:rsid w:val="092073EA"/>
    <w:rsid w:val="092234B5"/>
    <w:rsid w:val="09226860"/>
    <w:rsid w:val="092275F6"/>
    <w:rsid w:val="092816B4"/>
    <w:rsid w:val="092C26C9"/>
    <w:rsid w:val="09334A3F"/>
    <w:rsid w:val="093B00AE"/>
    <w:rsid w:val="094109B5"/>
    <w:rsid w:val="09444B9B"/>
    <w:rsid w:val="09467185"/>
    <w:rsid w:val="09470556"/>
    <w:rsid w:val="09486BA4"/>
    <w:rsid w:val="0953050B"/>
    <w:rsid w:val="09546457"/>
    <w:rsid w:val="09573CE0"/>
    <w:rsid w:val="0958129F"/>
    <w:rsid w:val="09582472"/>
    <w:rsid w:val="096308E4"/>
    <w:rsid w:val="096913F9"/>
    <w:rsid w:val="096B649C"/>
    <w:rsid w:val="096D7093"/>
    <w:rsid w:val="096F18AA"/>
    <w:rsid w:val="096F1D52"/>
    <w:rsid w:val="09713F26"/>
    <w:rsid w:val="0972140E"/>
    <w:rsid w:val="097862A6"/>
    <w:rsid w:val="09796C44"/>
    <w:rsid w:val="097E56C1"/>
    <w:rsid w:val="098344BC"/>
    <w:rsid w:val="09846B33"/>
    <w:rsid w:val="098A1B59"/>
    <w:rsid w:val="098D22CE"/>
    <w:rsid w:val="09902C37"/>
    <w:rsid w:val="09957BB0"/>
    <w:rsid w:val="09972599"/>
    <w:rsid w:val="099D065B"/>
    <w:rsid w:val="099D22A1"/>
    <w:rsid w:val="09A545D9"/>
    <w:rsid w:val="09A64698"/>
    <w:rsid w:val="09A9204A"/>
    <w:rsid w:val="09AC5074"/>
    <w:rsid w:val="09AD07F3"/>
    <w:rsid w:val="09B14A34"/>
    <w:rsid w:val="09B91042"/>
    <w:rsid w:val="09B959E5"/>
    <w:rsid w:val="09BA1421"/>
    <w:rsid w:val="09BA5647"/>
    <w:rsid w:val="09C346F5"/>
    <w:rsid w:val="09C65D3C"/>
    <w:rsid w:val="09CA65A4"/>
    <w:rsid w:val="09CD6A58"/>
    <w:rsid w:val="09CD6EF5"/>
    <w:rsid w:val="09D34B3A"/>
    <w:rsid w:val="09DC463F"/>
    <w:rsid w:val="09E14486"/>
    <w:rsid w:val="09E4648F"/>
    <w:rsid w:val="09F1407D"/>
    <w:rsid w:val="09F21427"/>
    <w:rsid w:val="09F22A67"/>
    <w:rsid w:val="0A093274"/>
    <w:rsid w:val="0A0E1173"/>
    <w:rsid w:val="0A0E6073"/>
    <w:rsid w:val="0A145E2C"/>
    <w:rsid w:val="0A1A2E51"/>
    <w:rsid w:val="0A2102B8"/>
    <w:rsid w:val="0A223227"/>
    <w:rsid w:val="0A22459E"/>
    <w:rsid w:val="0A24365D"/>
    <w:rsid w:val="0A25282E"/>
    <w:rsid w:val="0A2705E1"/>
    <w:rsid w:val="0A277574"/>
    <w:rsid w:val="0A2A6A0B"/>
    <w:rsid w:val="0A2B1C45"/>
    <w:rsid w:val="0A312533"/>
    <w:rsid w:val="0A335E1D"/>
    <w:rsid w:val="0A3532DE"/>
    <w:rsid w:val="0A380065"/>
    <w:rsid w:val="0A3A0D5D"/>
    <w:rsid w:val="0A446B70"/>
    <w:rsid w:val="0A4758B8"/>
    <w:rsid w:val="0A476DDF"/>
    <w:rsid w:val="0A5056C6"/>
    <w:rsid w:val="0A5060D6"/>
    <w:rsid w:val="0A570EAE"/>
    <w:rsid w:val="0A5E32BF"/>
    <w:rsid w:val="0A5F4C2E"/>
    <w:rsid w:val="0A6B69C2"/>
    <w:rsid w:val="0A7200B0"/>
    <w:rsid w:val="0A741F08"/>
    <w:rsid w:val="0A771CA5"/>
    <w:rsid w:val="0A7A2F0F"/>
    <w:rsid w:val="0A7F11A2"/>
    <w:rsid w:val="0A7F4F37"/>
    <w:rsid w:val="0A8053C7"/>
    <w:rsid w:val="0A843B9D"/>
    <w:rsid w:val="0A8621F2"/>
    <w:rsid w:val="0A8A7513"/>
    <w:rsid w:val="0A8C711B"/>
    <w:rsid w:val="0A8F1F9F"/>
    <w:rsid w:val="0A9124C9"/>
    <w:rsid w:val="0A9B6BF5"/>
    <w:rsid w:val="0A9E5B2C"/>
    <w:rsid w:val="0AA24BFF"/>
    <w:rsid w:val="0AA40CFE"/>
    <w:rsid w:val="0AA4164F"/>
    <w:rsid w:val="0AA45932"/>
    <w:rsid w:val="0AA50074"/>
    <w:rsid w:val="0AAB401F"/>
    <w:rsid w:val="0AB329A9"/>
    <w:rsid w:val="0ABA55D8"/>
    <w:rsid w:val="0AC23AEF"/>
    <w:rsid w:val="0ACD4245"/>
    <w:rsid w:val="0AD57FD6"/>
    <w:rsid w:val="0AD84FAB"/>
    <w:rsid w:val="0ADD7B55"/>
    <w:rsid w:val="0AE00E26"/>
    <w:rsid w:val="0AE70A68"/>
    <w:rsid w:val="0AF3491F"/>
    <w:rsid w:val="0AFC521E"/>
    <w:rsid w:val="0AFE0751"/>
    <w:rsid w:val="0B0363ED"/>
    <w:rsid w:val="0B0569D0"/>
    <w:rsid w:val="0B110AC0"/>
    <w:rsid w:val="0B1157EF"/>
    <w:rsid w:val="0B1232AE"/>
    <w:rsid w:val="0B155EAD"/>
    <w:rsid w:val="0B1765E0"/>
    <w:rsid w:val="0B1A6D7A"/>
    <w:rsid w:val="0B1C1D7C"/>
    <w:rsid w:val="0B1D3582"/>
    <w:rsid w:val="0B22066E"/>
    <w:rsid w:val="0B2643BE"/>
    <w:rsid w:val="0B2B1908"/>
    <w:rsid w:val="0B2D66EE"/>
    <w:rsid w:val="0B3F2432"/>
    <w:rsid w:val="0B4746C8"/>
    <w:rsid w:val="0B4D5218"/>
    <w:rsid w:val="0B51337F"/>
    <w:rsid w:val="0B513DBF"/>
    <w:rsid w:val="0B535E64"/>
    <w:rsid w:val="0B5C18DB"/>
    <w:rsid w:val="0B5C42B3"/>
    <w:rsid w:val="0B5D5C62"/>
    <w:rsid w:val="0B5F215C"/>
    <w:rsid w:val="0B605DE1"/>
    <w:rsid w:val="0B615169"/>
    <w:rsid w:val="0B622E13"/>
    <w:rsid w:val="0B651A68"/>
    <w:rsid w:val="0B6C3D24"/>
    <w:rsid w:val="0B6E5BD3"/>
    <w:rsid w:val="0B717521"/>
    <w:rsid w:val="0B8307A0"/>
    <w:rsid w:val="0B841D24"/>
    <w:rsid w:val="0B857CF5"/>
    <w:rsid w:val="0B884E90"/>
    <w:rsid w:val="0B892782"/>
    <w:rsid w:val="0B936E39"/>
    <w:rsid w:val="0B9538BE"/>
    <w:rsid w:val="0B9B4AEA"/>
    <w:rsid w:val="0B9C0905"/>
    <w:rsid w:val="0B9E13B0"/>
    <w:rsid w:val="0BA50427"/>
    <w:rsid w:val="0BAA0B6D"/>
    <w:rsid w:val="0BB02C8B"/>
    <w:rsid w:val="0BB2460A"/>
    <w:rsid w:val="0BB41A6B"/>
    <w:rsid w:val="0BB41CFB"/>
    <w:rsid w:val="0BB53F3C"/>
    <w:rsid w:val="0BC00376"/>
    <w:rsid w:val="0BC739F0"/>
    <w:rsid w:val="0BD21910"/>
    <w:rsid w:val="0BDA3782"/>
    <w:rsid w:val="0BDB5584"/>
    <w:rsid w:val="0BE0026A"/>
    <w:rsid w:val="0BE03407"/>
    <w:rsid w:val="0BE03DAA"/>
    <w:rsid w:val="0BE17727"/>
    <w:rsid w:val="0BEC55E4"/>
    <w:rsid w:val="0BF427F9"/>
    <w:rsid w:val="0BF614B9"/>
    <w:rsid w:val="0C0B2ABC"/>
    <w:rsid w:val="0C0C632D"/>
    <w:rsid w:val="0C120111"/>
    <w:rsid w:val="0C12447E"/>
    <w:rsid w:val="0C1D0A79"/>
    <w:rsid w:val="0C20268F"/>
    <w:rsid w:val="0C2966B3"/>
    <w:rsid w:val="0C2C1AE5"/>
    <w:rsid w:val="0C37145B"/>
    <w:rsid w:val="0C3946F8"/>
    <w:rsid w:val="0C3C0AB0"/>
    <w:rsid w:val="0C44334A"/>
    <w:rsid w:val="0C455380"/>
    <w:rsid w:val="0C485366"/>
    <w:rsid w:val="0C517DA1"/>
    <w:rsid w:val="0C52301A"/>
    <w:rsid w:val="0C573449"/>
    <w:rsid w:val="0C576E02"/>
    <w:rsid w:val="0C5D74AF"/>
    <w:rsid w:val="0C6038EF"/>
    <w:rsid w:val="0C654C73"/>
    <w:rsid w:val="0C663BE3"/>
    <w:rsid w:val="0C6D5199"/>
    <w:rsid w:val="0C710467"/>
    <w:rsid w:val="0C744A34"/>
    <w:rsid w:val="0C751214"/>
    <w:rsid w:val="0C780533"/>
    <w:rsid w:val="0C780F1E"/>
    <w:rsid w:val="0C7D7580"/>
    <w:rsid w:val="0C85742B"/>
    <w:rsid w:val="0C8726EC"/>
    <w:rsid w:val="0C873353"/>
    <w:rsid w:val="0C880B44"/>
    <w:rsid w:val="0C885C99"/>
    <w:rsid w:val="0C8B4B61"/>
    <w:rsid w:val="0C9924F3"/>
    <w:rsid w:val="0C9A4387"/>
    <w:rsid w:val="0C9D3F03"/>
    <w:rsid w:val="0CA1546A"/>
    <w:rsid w:val="0CA4660D"/>
    <w:rsid w:val="0CA46672"/>
    <w:rsid w:val="0CA92BAC"/>
    <w:rsid w:val="0CB02A2E"/>
    <w:rsid w:val="0CB07BBB"/>
    <w:rsid w:val="0CB176C1"/>
    <w:rsid w:val="0CB471A1"/>
    <w:rsid w:val="0CB90F2E"/>
    <w:rsid w:val="0CBB5A0F"/>
    <w:rsid w:val="0CCD3B1C"/>
    <w:rsid w:val="0CD648E3"/>
    <w:rsid w:val="0CE245F1"/>
    <w:rsid w:val="0CE33A19"/>
    <w:rsid w:val="0CE4001E"/>
    <w:rsid w:val="0CF5634C"/>
    <w:rsid w:val="0D0213CD"/>
    <w:rsid w:val="0D04575D"/>
    <w:rsid w:val="0D0612B8"/>
    <w:rsid w:val="0D066A9C"/>
    <w:rsid w:val="0D0714BC"/>
    <w:rsid w:val="0D076826"/>
    <w:rsid w:val="0D0A1D55"/>
    <w:rsid w:val="0D0F2DCE"/>
    <w:rsid w:val="0D110F87"/>
    <w:rsid w:val="0D136EF9"/>
    <w:rsid w:val="0D1A52C8"/>
    <w:rsid w:val="0D1C1D16"/>
    <w:rsid w:val="0D21615D"/>
    <w:rsid w:val="0D2454BF"/>
    <w:rsid w:val="0D2767B5"/>
    <w:rsid w:val="0D3E327E"/>
    <w:rsid w:val="0D3E50C9"/>
    <w:rsid w:val="0D432A3E"/>
    <w:rsid w:val="0D480AA9"/>
    <w:rsid w:val="0D4D56D6"/>
    <w:rsid w:val="0D5800C7"/>
    <w:rsid w:val="0D5B6E86"/>
    <w:rsid w:val="0D604B9B"/>
    <w:rsid w:val="0D63712E"/>
    <w:rsid w:val="0D647BCA"/>
    <w:rsid w:val="0D6A353C"/>
    <w:rsid w:val="0D771AFB"/>
    <w:rsid w:val="0D7969D7"/>
    <w:rsid w:val="0D826C81"/>
    <w:rsid w:val="0D845BD8"/>
    <w:rsid w:val="0D8D2945"/>
    <w:rsid w:val="0D8F1433"/>
    <w:rsid w:val="0D904522"/>
    <w:rsid w:val="0D917146"/>
    <w:rsid w:val="0D972438"/>
    <w:rsid w:val="0D976014"/>
    <w:rsid w:val="0DA060E8"/>
    <w:rsid w:val="0DA21DEB"/>
    <w:rsid w:val="0DA57AAE"/>
    <w:rsid w:val="0DA67711"/>
    <w:rsid w:val="0DB44F15"/>
    <w:rsid w:val="0DB51551"/>
    <w:rsid w:val="0DB76EF8"/>
    <w:rsid w:val="0DB8079D"/>
    <w:rsid w:val="0DC80C38"/>
    <w:rsid w:val="0DCE36F3"/>
    <w:rsid w:val="0DCF7F93"/>
    <w:rsid w:val="0DD611B6"/>
    <w:rsid w:val="0DD621E4"/>
    <w:rsid w:val="0DD65208"/>
    <w:rsid w:val="0DD933E8"/>
    <w:rsid w:val="0DDD2372"/>
    <w:rsid w:val="0DDE1317"/>
    <w:rsid w:val="0DE55D4A"/>
    <w:rsid w:val="0DEC0FF7"/>
    <w:rsid w:val="0DEE77C3"/>
    <w:rsid w:val="0DF0225F"/>
    <w:rsid w:val="0DF21B12"/>
    <w:rsid w:val="0DF367C2"/>
    <w:rsid w:val="0DF376EB"/>
    <w:rsid w:val="0DFC48AF"/>
    <w:rsid w:val="0DFF2594"/>
    <w:rsid w:val="0E0313B1"/>
    <w:rsid w:val="0E043FF3"/>
    <w:rsid w:val="0E062A96"/>
    <w:rsid w:val="0E0D1A47"/>
    <w:rsid w:val="0E176FCD"/>
    <w:rsid w:val="0E193FCB"/>
    <w:rsid w:val="0E1C0C6C"/>
    <w:rsid w:val="0E2134C9"/>
    <w:rsid w:val="0E232F90"/>
    <w:rsid w:val="0E281319"/>
    <w:rsid w:val="0E3217E8"/>
    <w:rsid w:val="0E322DDF"/>
    <w:rsid w:val="0E387AA5"/>
    <w:rsid w:val="0E393B3A"/>
    <w:rsid w:val="0E3F0E9A"/>
    <w:rsid w:val="0E400D03"/>
    <w:rsid w:val="0E406D5C"/>
    <w:rsid w:val="0E485C9B"/>
    <w:rsid w:val="0E4D4B22"/>
    <w:rsid w:val="0E5A04BE"/>
    <w:rsid w:val="0E5E0225"/>
    <w:rsid w:val="0E5E2B07"/>
    <w:rsid w:val="0E6A0F47"/>
    <w:rsid w:val="0E6A1721"/>
    <w:rsid w:val="0E7454FD"/>
    <w:rsid w:val="0E752596"/>
    <w:rsid w:val="0E771E51"/>
    <w:rsid w:val="0E796EA0"/>
    <w:rsid w:val="0E7A2A61"/>
    <w:rsid w:val="0E7C0762"/>
    <w:rsid w:val="0E8118C0"/>
    <w:rsid w:val="0E8164AD"/>
    <w:rsid w:val="0E894FFB"/>
    <w:rsid w:val="0E926A16"/>
    <w:rsid w:val="0E9A17E3"/>
    <w:rsid w:val="0EA11114"/>
    <w:rsid w:val="0EA35AC0"/>
    <w:rsid w:val="0EAA30A8"/>
    <w:rsid w:val="0EB11C1A"/>
    <w:rsid w:val="0EB34961"/>
    <w:rsid w:val="0EB9447E"/>
    <w:rsid w:val="0EC11B24"/>
    <w:rsid w:val="0EC468A2"/>
    <w:rsid w:val="0EC97E12"/>
    <w:rsid w:val="0ECA0784"/>
    <w:rsid w:val="0ECC4066"/>
    <w:rsid w:val="0ECE7C5F"/>
    <w:rsid w:val="0ED12B32"/>
    <w:rsid w:val="0ED42F9E"/>
    <w:rsid w:val="0EDA48C8"/>
    <w:rsid w:val="0EDC5CD2"/>
    <w:rsid w:val="0EDF1D4E"/>
    <w:rsid w:val="0EE77EDF"/>
    <w:rsid w:val="0EEC53AA"/>
    <w:rsid w:val="0EF75D05"/>
    <w:rsid w:val="0EF957FE"/>
    <w:rsid w:val="0EFE2ACB"/>
    <w:rsid w:val="0F0752A8"/>
    <w:rsid w:val="0F087675"/>
    <w:rsid w:val="0F0D240A"/>
    <w:rsid w:val="0F0E2F3A"/>
    <w:rsid w:val="0F12247A"/>
    <w:rsid w:val="0F1D0ECD"/>
    <w:rsid w:val="0F2D7701"/>
    <w:rsid w:val="0F32645C"/>
    <w:rsid w:val="0F3452E0"/>
    <w:rsid w:val="0F362C24"/>
    <w:rsid w:val="0F364BC2"/>
    <w:rsid w:val="0F3A630E"/>
    <w:rsid w:val="0F3B1C05"/>
    <w:rsid w:val="0F3B7D81"/>
    <w:rsid w:val="0F455F85"/>
    <w:rsid w:val="0F47212B"/>
    <w:rsid w:val="0F49564D"/>
    <w:rsid w:val="0F4A7FC1"/>
    <w:rsid w:val="0F4D1918"/>
    <w:rsid w:val="0F502C70"/>
    <w:rsid w:val="0F5075AE"/>
    <w:rsid w:val="0F521719"/>
    <w:rsid w:val="0F571705"/>
    <w:rsid w:val="0F584757"/>
    <w:rsid w:val="0F5F48DA"/>
    <w:rsid w:val="0F5F7241"/>
    <w:rsid w:val="0F6A1108"/>
    <w:rsid w:val="0F704CEF"/>
    <w:rsid w:val="0F7514AB"/>
    <w:rsid w:val="0F7C4621"/>
    <w:rsid w:val="0F7D786D"/>
    <w:rsid w:val="0F7E4DAF"/>
    <w:rsid w:val="0F7E6AED"/>
    <w:rsid w:val="0F80243B"/>
    <w:rsid w:val="0F842AF1"/>
    <w:rsid w:val="0F871D69"/>
    <w:rsid w:val="0F8C4927"/>
    <w:rsid w:val="0F8E6521"/>
    <w:rsid w:val="0F8F27CB"/>
    <w:rsid w:val="0F9A3D44"/>
    <w:rsid w:val="0FA11695"/>
    <w:rsid w:val="0FA26E81"/>
    <w:rsid w:val="0FA615E1"/>
    <w:rsid w:val="0FAD0019"/>
    <w:rsid w:val="0FAD3299"/>
    <w:rsid w:val="0FAD3F5A"/>
    <w:rsid w:val="0FB261C9"/>
    <w:rsid w:val="0FB31343"/>
    <w:rsid w:val="0FB714C3"/>
    <w:rsid w:val="0FBE3D3D"/>
    <w:rsid w:val="0FC12836"/>
    <w:rsid w:val="0FC427AC"/>
    <w:rsid w:val="0FD95333"/>
    <w:rsid w:val="0FDD44E9"/>
    <w:rsid w:val="0FE0698F"/>
    <w:rsid w:val="0FEA3F98"/>
    <w:rsid w:val="0FEB0378"/>
    <w:rsid w:val="0FEC322B"/>
    <w:rsid w:val="0FEC6EF6"/>
    <w:rsid w:val="0FFE1111"/>
    <w:rsid w:val="10036C5E"/>
    <w:rsid w:val="10045EE6"/>
    <w:rsid w:val="10071FE5"/>
    <w:rsid w:val="100C1580"/>
    <w:rsid w:val="100D3B17"/>
    <w:rsid w:val="10134323"/>
    <w:rsid w:val="10145447"/>
    <w:rsid w:val="10154FE6"/>
    <w:rsid w:val="10201287"/>
    <w:rsid w:val="1023666E"/>
    <w:rsid w:val="1024103C"/>
    <w:rsid w:val="1031492B"/>
    <w:rsid w:val="1035409F"/>
    <w:rsid w:val="1035503C"/>
    <w:rsid w:val="1037078D"/>
    <w:rsid w:val="103806C3"/>
    <w:rsid w:val="103A7991"/>
    <w:rsid w:val="103F5AB4"/>
    <w:rsid w:val="104052A4"/>
    <w:rsid w:val="10413A4E"/>
    <w:rsid w:val="10462479"/>
    <w:rsid w:val="104710A5"/>
    <w:rsid w:val="104830A2"/>
    <w:rsid w:val="104B2D15"/>
    <w:rsid w:val="104D41B8"/>
    <w:rsid w:val="104E13BC"/>
    <w:rsid w:val="10525348"/>
    <w:rsid w:val="10545462"/>
    <w:rsid w:val="10591BBA"/>
    <w:rsid w:val="10613177"/>
    <w:rsid w:val="1063036B"/>
    <w:rsid w:val="10674DB0"/>
    <w:rsid w:val="106D678B"/>
    <w:rsid w:val="107374A2"/>
    <w:rsid w:val="10746083"/>
    <w:rsid w:val="10774625"/>
    <w:rsid w:val="107779F1"/>
    <w:rsid w:val="107B4809"/>
    <w:rsid w:val="10836F99"/>
    <w:rsid w:val="10886883"/>
    <w:rsid w:val="108A2129"/>
    <w:rsid w:val="10900CC5"/>
    <w:rsid w:val="10924B2D"/>
    <w:rsid w:val="10953B42"/>
    <w:rsid w:val="109755DE"/>
    <w:rsid w:val="10A12DB1"/>
    <w:rsid w:val="10B4235C"/>
    <w:rsid w:val="10B7486E"/>
    <w:rsid w:val="10BD429D"/>
    <w:rsid w:val="10C85160"/>
    <w:rsid w:val="10CC5735"/>
    <w:rsid w:val="10D679E0"/>
    <w:rsid w:val="10DF786B"/>
    <w:rsid w:val="10E43C3F"/>
    <w:rsid w:val="10E80BB5"/>
    <w:rsid w:val="10EC75B1"/>
    <w:rsid w:val="10F33CC1"/>
    <w:rsid w:val="10FA45D2"/>
    <w:rsid w:val="10FD6E37"/>
    <w:rsid w:val="11024527"/>
    <w:rsid w:val="110A4489"/>
    <w:rsid w:val="11150F62"/>
    <w:rsid w:val="111A28E5"/>
    <w:rsid w:val="111D0087"/>
    <w:rsid w:val="111D46E5"/>
    <w:rsid w:val="111E5679"/>
    <w:rsid w:val="11280A27"/>
    <w:rsid w:val="112F54D2"/>
    <w:rsid w:val="1133321C"/>
    <w:rsid w:val="113B291C"/>
    <w:rsid w:val="11457D8C"/>
    <w:rsid w:val="11461F96"/>
    <w:rsid w:val="114C3CA8"/>
    <w:rsid w:val="114D3A1D"/>
    <w:rsid w:val="11562BF2"/>
    <w:rsid w:val="11576536"/>
    <w:rsid w:val="115F7B83"/>
    <w:rsid w:val="11607F73"/>
    <w:rsid w:val="11613A1B"/>
    <w:rsid w:val="116A3BB2"/>
    <w:rsid w:val="11703DE0"/>
    <w:rsid w:val="117338ED"/>
    <w:rsid w:val="117561EB"/>
    <w:rsid w:val="11781FEE"/>
    <w:rsid w:val="117824F0"/>
    <w:rsid w:val="117E2370"/>
    <w:rsid w:val="117F2E3D"/>
    <w:rsid w:val="11800455"/>
    <w:rsid w:val="11803774"/>
    <w:rsid w:val="11847341"/>
    <w:rsid w:val="118778A0"/>
    <w:rsid w:val="11890CE5"/>
    <w:rsid w:val="118F5D6B"/>
    <w:rsid w:val="11996649"/>
    <w:rsid w:val="119C152C"/>
    <w:rsid w:val="11A030A8"/>
    <w:rsid w:val="11AA61BD"/>
    <w:rsid w:val="11AB222F"/>
    <w:rsid w:val="11AC7561"/>
    <w:rsid w:val="11AE6531"/>
    <w:rsid w:val="11AF439E"/>
    <w:rsid w:val="11B50817"/>
    <w:rsid w:val="11B52CFA"/>
    <w:rsid w:val="11B66269"/>
    <w:rsid w:val="11BA0839"/>
    <w:rsid w:val="11BE25B0"/>
    <w:rsid w:val="11CA3974"/>
    <w:rsid w:val="11D96062"/>
    <w:rsid w:val="11DD7754"/>
    <w:rsid w:val="11E048F7"/>
    <w:rsid w:val="11E4369D"/>
    <w:rsid w:val="11E662FC"/>
    <w:rsid w:val="11EA6B41"/>
    <w:rsid w:val="11EE4F27"/>
    <w:rsid w:val="11F0307F"/>
    <w:rsid w:val="11F267E8"/>
    <w:rsid w:val="11F427FC"/>
    <w:rsid w:val="11FA2D7A"/>
    <w:rsid w:val="11FF27F2"/>
    <w:rsid w:val="12066C25"/>
    <w:rsid w:val="120D75E1"/>
    <w:rsid w:val="12103122"/>
    <w:rsid w:val="1210456D"/>
    <w:rsid w:val="12134828"/>
    <w:rsid w:val="12143598"/>
    <w:rsid w:val="12166EF4"/>
    <w:rsid w:val="121729B6"/>
    <w:rsid w:val="12205406"/>
    <w:rsid w:val="12220941"/>
    <w:rsid w:val="122A6318"/>
    <w:rsid w:val="122C6138"/>
    <w:rsid w:val="12322148"/>
    <w:rsid w:val="123616D6"/>
    <w:rsid w:val="12396B0A"/>
    <w:rsid w:val="123A52C3"/>
    <w:rsid w:val="123C3AE0"/>
    <w:rsid w:val="123E0CDC"/>
    <w:rsid w:val="12497A85"/>
    <w:rsid w:val="125A02CC"/>
    <w:rsid w:val="12612BA4"/>
    <w:rsid w:val="126405F6"/>
    <w:rsid w:val="1265625F"/>
    <w:rsid w:val="127222F3"/>
    <w:rsid w:val="127D422E"/>
    <w:rsid w:val="12845278"/>
    <w:rsid w:val="12863AEA"/>
    <w:rsid w:val="128B7C40"/>
    <w:rsid w:val="128C036A"/>
    <w:rsid w:val="128E70AD"/>
    <w:rsid w:val="129535C1"/>
    <w:rsid w:val="129D41B7"/>
    <w:rsid w:val="12A45BB3"/>
    <w:rsid w:val="12A9130F"/>
    <w:rsid w:val="12AB0CA2"/>
    <w:rsid w:val="12AC51B9"/>
    <w:rsid w:val="12B1068C"/>
    <w:rsid w:val="12B371AD"/>
    <w:rsid w:val="12B43B19"/>
    <w:rsid w:val="12B5075C"/>
    <w:rsid w:val="12BC3C60"/>
    <w:rsid w:val="12C15F00"/>
    <w:rsid w:val="12C2679E"/>
    <w:rsid w:val="12C667C3"/>
    <w:rsid w:val="12C77089"/>
    <w:rsid w:val="12CB4026"/>
    <w:rsid w:val="12D16C9D"/>
    <w:rsid w:val="12D20ECB"/>
    <w:rsid w:val="12D93C20"/>
    <w:rsid w:val="12DD694C"/>
    <w:rsid w:val="12DF0C5E"/>
    <w:rsid w:val="12E302DA"/>
    <w:rsid w:val="12EC215C"/>
    <w:rsid w:val="12EE6AFD"/>
    <w:rsid w:val="12F538D3"/>
    <w:rsid w:val="12F85F0D"/>
    <w:rsid w:val="12F97513"/>
    <w:rsid w:val="12FA6C0E"/>
    <w:rsid w:val="12FB7F3D"/>
    <w:rsid w:val="13017E6E"/>
    <w:rsid w:val="130611C7"/>
    <w:rsid w:val="1306326A"/>
    <w:rsid w:val="130C7624"/>
    <w:rsid w:val="130D7CA1"/>
    <w:rsid w:val="131046DE"/>
    <w:rsid w:val="1311066B"/>
    <w:rsid w:val="13172F98"/>
    <w:rsid w:val="131B2229"/>
    <w:rsid w:val="131B463A"/>
    <w:rsid w:val="131D12BF"/>
    <w:rsid w:val="131D5DAE"/>
    <w:rsid w:val="13217B01"/>
    <w:rsid w:val="13253FC4"/>
    <w:rsid w:val="132625C2"/>
    <w:rsid w:val="132A7435"/>
    <w:rsid w:val="13322AD3"/>
    <w:rsid w:val="133B5756"/>
    <w:rsid w:val="134904A6"/>
    <w:rsid w:val="1357258A"/>
    <w:rsid w:val="135845C3"/>
    <w:rsid w:val="135F5E4E"/>
    <w:rsid w:val="1377654A"/>
    <w:rsid w:val="137D1A4D"/>
    <w:rsid w:val="137F1B10"/>
    <w:rsid w:val="137F4E27"/>
    <w:rsid w:val="1382164E"/>
    <w:rsid w:val="13833EEA"/>
    <w:rsid w:val="1387444F"/>
    <w:rsid w:val="138C7615"/>
    <w:rsid w:val="138F0709"/>
    <w:rsid w:val="13903BFA"/>
    <w:rsid w:val="13913843"/>
    <w:rsid w:val="13920C1D"/>
    <w:rsid w:val="13937FAD"/>
    <w:rsid w:val="13962CE5"/>
    <w:rsid w:val="13990AF5"/>
    <w:rsid w:val="13A510A8"/>
    <w:rsid w:val="13A62921"/>
    <w:rsid w:val="13AB3B97"/>
    <w:rsid w:val="13AF7074"/>
    <w:rsid w:val="13B35E26"/>
    <w:rsid w:val="13B42C01"/>
    <w:rsid w:val="13B445AD"/>
    <w:rsid w:val="13B66BD2"/>
    <w:rsid w:val="13BF66BA"/>
    <w:rsid w:val="13C33227"/>
    <w:rsid w:val="13C66479"/>
    <w:rsid w:val="13CA31CB"/>
    <w:rsid w:val="13CD1105"/>
    <w:rsid w:val="13D27C86"/>
    <w:rsid w:val="13D765AD"/>
    <w:rsid w:val="13D90BC5"/>
    <w:rsid w:val="13D91947"/>
    <w:rsid w:val="13DA30B9"/>
    <w:rsid w:val="13DC36E2"/>
    <w:rsid w:val="13E700A6"/>
    <w:rsid w:val="13E96E8F"/>
    <w:rsid w:val="13ED51EC"/>
    <w:rsid w:val="13F22B81"/>
    <w:rsid w:val="13F41B61"/>
    <w:rsid w:val="13FD4FCC"/>
    <w:rsid w:val="13FE285E"/>
    <w:rsid w:val="1400502D"/>
    <w:rsid w:val="14083E7D"/>
    <w:rsid w:val="140D5E1A"/>
    <w:rsid w:val="1410395F"/>
    <w:rsid w:val="141624C3"/>
    <w:rsid w:val="141B08A6"/>
    <w:rsid w:val="141D1211"/>
    <w:rsid w:val="14220CA7"/>
    <w:rsid w:val="142E6CAD"/>
    <w:rsid w:val="143802F8"/>
    <w:rsid w:val="14427FD4"/>
    <w:rsid w:val="144442DA"/>
    <w:rsid w:val="144C6544"/>
    <w:rsid w:val="144F7DD8"/>
    <w:rsid w:val="14547289"/>
    <w:rsid w:val="14556F31"/>
    <w:rsid w:val="14601A0D"/>
    <w:rsid w:val="14694C0A"/>
    <w:rsid w:val="14697AC5"/>
    <w:rsid w:val="147538F3"/>
    <w:rsid w:val="147544B0"/>
    <w:rsid w:val="14794C74"/>
    <w:rsid w:val="14812D74"/>
    <w:rsid w:val="14836C15"/>
    <w:rsid w:val="14862300"/>
    <w:rsid w:val="148B50C9"/>
    <w:rsid w:val="148C00A0"/>
    <w:rsid w:val="148D3653"/>
    <w:rsid w:val="149363B8"/>
    <w:rsid w:val="149E0A7B"/>
    <w:rsid w:val="14A75504"/>
    <w:rsid w:val="14A82A63"/>
    <w:rsid w:val="14A86EA4"/>
    <w:rsid w:val="14AC358C"/>
    <w:rsid w:val="14AC55F9"/>
    <w:rsid w:val="14AD2764"/>
    <w:rsid w:val="14B227CC"/>
    <w:rsid w:val="14B76730"/>
    <w:rsid w:val="14C42DC7"/>
    <w:rsid w:val="14C767C8"/>
    <w:rsid w:val="14DE753E"/>
    <w:rsid w:val="14E64628"/>
    <w:rsid w:val="14E81AD4"/>
    <w:rsid w:val="14F16663"/>
    <w:rsid w:val="14F37724"/>
    <w:rsid w:val="14F51028"/>
    <w:rsid w:val="14F549EC"/>
    <w:rsid w:val="14F92549"/>
    <w:rsid w:val="14FB4950"/>
    <w:rsid w:val="14FD0138"/>
    <w:rsid w:val="14FD4800"/>
    <w:rsid w:val="14FE45D8"/>
    <w:rsid w:val="14FE6347"/>
    <w:rsid w:val="150650CB"/>
    <w:rsid w:val="150E6B8B"/>
    <w:rsid w:val="15132BD3"/>
    <w:rsid w:val="15156C3A"/>
    <w:rsid w:val="15157DF4"/>
    <w:rsid w:val="151B0462"/>
    <w:rsid w:val="151C45D8"/>
    <w:rsid w:val="15290336"/>
    <w:rsid w:val="15297BD7"/>
    <w:rsid w:val="152E6293"/>
    <w:rsid w:val="15325A1E"/>
    <w:rsid w:val="153B59AE"/>
    <w:rsid w:val="1542012A"/>
    <w:rsid w:val="15422ACA"/>
    <w:rsid w:val="154A777B"/>
    <w:rsid w:val="154D4A84"/>
    <w:rsid w:val="155424D6"/>
    <w:rsid w:val="155605E9"/>
    <w:rsid w:val="155B1745"/>
    <w:rsid w:val="155F651D"/>
    <w:rsid w:val="15655F19"/>
    <w:rsid w:val="156870BF"/>
    <w:rsid w:val="157348EB"/>
    <w:rsid w:val="157500D8"/>
    <w:rsid w:val="15787FE5"/>
    <w:rsid w:val="157E21FE"/>
    <w:rsid w:val="157E5AA6"/>
    <w:rsid w:val="157F4CD7"/>
    <w:rsid w:val="158709E9"/>
    <w:rsid w:val="1587411C"/>
    <w:rsid w:val="15880BD1"/>
    <w:rsid w:val="158C59BD"/>
    <w:rsid w:val="159332D7"/>
    <w:rsid w:val="15940459"/>
    <w:rsid w:val="159669D6"/>
    <w:rsid w:val="159859F4"/>
    <w:rsid w:val="15A80FDC"/>
    <w:rsid w:val="15AA7A19"/>
    <w:rsid w:val="15AC5259"/>
    <w:rsid w:val="15AD2C39"/>
    <w:rsid w:val="15AE02B1"/>
    <w:rsid w:val="15AE46FA"/>
    <w:rsid w:val="15AE5475"/>
    <w:rsid w:val="15B06B12"/>
    <w:rsid w:val="15B21729"/>
    <w:rsid w:val="15B75136"/>
    <w:rsid w:val="15BE3D9D"/>
    <w:rsid w:val="15C02C76"/>
    <w:rsid w:val="15C4476E"/>
    <w:rsid w:val="15C61DCD"/>
    <w:rsid w:val="15D4474D"/>
    <w:rsid w:val="15D7597F"/>
    <w:rsid w:val="15E32BB5"/>
    <w:rsid w:val="15F53F0F"/>
    <w:rsid w:val="160A3803"/>
    <w:rsid w:val="160C437B"/>
    <w:rsid w:val="161033BE"/>
    <w:rsid w:val="16147F08"/>
    <w:rsid w:val="16160429"/>
    <w:rsid w:val="161C3234"/>
    <w:rsid w:val="162F0727"/>
    <w:rsid w:val="16302232"/>
    <w:rsid w:val="163562A4"/>
    <w:rsid w:val="163A584C"/>
    <w:rsid w:val="164051D9"/>
    <w:rsid w:val="1641433F"/>
    <w:rsid w:val="164875ED"/>
    <w:rsid w:val="164B2B96"/>
    <w:rsid w:val="164D6264"/>
    <w:rsid w:val="165511E0"/>
    <w:rsid w:val="165C4863"/>
    <w:rsid w:val="165F5560"/>
    <w:rsid w:val="1663476A"/>
    <w:rsid w:val="1668027A"/>
    <w:rsid w:val="16697DBA"/>
    <w:rsid w:val="166C0D1B"/>
    <w:rsid w:val="166E1C29"/>
    <w:rsid w:val="16727B66"/>
    <w:rsid w:val="167344C7"/>
    <w:rsid w:val="16761157"/>
    <w:rsid w:val="16780DA5"/>
    <w:rsid w:val="16794785"/>
    <w:rsid w:val="168119E9"/>
    <w:rsid w:val="16853FE3"/>
    <w:rsid w:val="168A3277"/>
    <w:rsid w:val="168C483C"/>
    <w:rsid w:val="168E29CE"/>
    <w:rsid w:val="168F5C07"/>
    <w:rsid w:val="1695742C"/>
    <w:rsid w:val="169D1595"/>
    <w:rsid w:val="169E2FAE"/>
    <w:rsid w:val="16A65B92"/>
    <w:rsid w:val="16AA56E3"/>
    <w:rsid w:val="16AB6FC8"/>
    <w:rsid w:val="16AC6E85"/>
    <w:rsid w:val="16AD0A57"/>
    <w:rsid w:val="16BA18A0"/>
    <w:rsid w:val="16BA7C07"/>
    <w:rsid w:val="16BD160C"/>
    <w:rsid w:val="16BE109A"/>
    <w:rsid w:val="16C066C7"/>
    <w:rsid w:val="16C2724F"/>
    <w:rsid w:val="16C41FCF"/>
    <w:rsid w:val="16C455CB"/>
    <w:rsid w:val="16D10416"/>
    <w:rsid w:val="16D359B1"/>
    <w:rsid w:val="16D550B0"/>
    <w:rsid w:val="16DC6856"/>
    <w:rsid w:val="16DD48E9"/>
    <w:rsid w:val="16E7220A"/>
    <w:rsid w:val="16E97227"/>
    <w:rsid w:val="16F7773E"/>
    <w:rsid w:val="16F94056"/>
    <w:rsid w:val="16FD7F89"/>
    <w:rsid w:val="170133DA"/>
    <w:rsid w:val="17017641"/>
    <w:rsid w:val="170259E1"/>
    <w:rsid w:val="17026088"/>
    <w:rsid w:val="170353FD"/>
    <w:rsid w:val="17056BCC"/>
    <w:rsid w:val="171053FC"/>
    <w:rsid w:val="17137BE1"/>
    <w:rsid w:val="1715378E"/>
    <w:rsid w:val="17172D0A"/>
    <w:rsid w:val="171E7FAF"/>
    <w:rsid w:val="17220210"/>
    <w:rsid w:val="17235F88"/>
    <w:rsid w:val="17256955"/>
    <w:rsid w:val="17260A88"/>
    <w:rsid w:val="172B6CEB"/>
    <w:rsid w:val="172E31B3"/>
    <w:rsid w:val="17343071"/>
    <w:rsid w:val="17350245"/>
    <w:rsid w:val="17382580"/>
    <w:rsid w:val="17425826"/>
    <w:rsid w:val="174A2BD1"/>
    <w:rsid w:val="174D3983"/>
    <w:rsid w:val="17595246"/>
    <w:rsid w:val="175E4288"/>
    <w:rsid w:val="175F6489"/>
    <w:rsid w:val="17650A34"/>
    <w:rsid w:val="17652ACF"/>
    <w:rsid w:val="176C704A"/>
    <w:rsid w:val="176F708E"/>
    <w:rsid w:val="177653C5"/>
    <w:rsid w:val="17781A92"/>
    <w:rsid w:val="17844C56"/>
    <w:rsid w:val="1792346D"/>
    <w:rsid w:val="179559A6"/>
    <w:rsid w:val="17957384"/>
    <w:rsid w:val="17A30F12"/>
    <w:rsid w:val="17B274A5"/>
    <w:rsid w:val="17B6063D"/>
    <w:rsid w:val="17B74C8C"/>
    <w:rsid w:val="17B83B56"/>
    <w:rsid w:val="17BA48D6"/>
    <w:rsid w:val="17BC33B5"/>
    <w:rsid w:val="17C0378A"/>
    <w:rsid w:val="17C535A1"/>
    <w:rsid w:val="17CA313C"/>
    <w:rsid w:val="17CC1D1C"/>
    <w:rsid w:val="17CD5EE0"/>
    <w:rsid w:val="17D47D7C"/>
    <w:rsid w:val="17D77660"/>
    <w:rsid w:val="17D77CA7"/>
    <w:rsid w:val="17DD34AB"/>
    <w:rsid w:val="17EB0C0D"/>
    <w:rsid w:val="17ED2085"/>
    <w:rsid w:val="17ED6E2E"/>
    <w:rsid w:val="17EE010A"/>
    <w:rsid w:val="17F223D1"/>
    <w:rsid w:val="17F55D04"/>
    <w:rsid w:val="17FB3B07"/>
    <w:rsid w:val="17FC272C"/>
    <w:rsid w:val="17FE0B0A"/>
    <w:rsid w:val="17FE0C9F"/>
    <w:rsid w:val="17FF3C9D"/>
    <w:rsid w:val="18020237"/>
    <w:rsid w:val="180A527C"/>
    <w:rsid w:val="18157481"/>
    <w:rsid w:val="181B3A35"/>
    <w:rsid w:val="182267FD"/>
    <w:rsid w:val="18235A20"/>
    <w:rsid w:val="18235E85"/>
    <w:rsid w:val="18331DAD"/>
    <w:rsid w:val="1834618E"/>
    <w:rsid w:val="18397C4D"/>
    <w:rsid w:val="183E4121"/>
    <w:rsid w:val="183F3DA9"/>
    <w:rsid w:val="184068C1"/>
    <w:rsid w:val="18420253"/>
    <w:rsid w:val="1848540C"/>
    <w:rsid w:val="18524B4C"/>
    <w:rsid w:val="18533B98"/>
    <w:rsid w:val="185546D2"/>
    <w:rsid w:val="18570266"/>
    <w:rsid w:val="18674D45"/>
    <w:rsid w:val="186B15D6"/>
    <w:rsid w:val="186C1DBE"/>
    <w:rsid w:val="186C5153"/>
    <w:rsid w:val="186E738D"/>
    <w:rsid w:val="186F36A8"/>
    <w:rsid w:val="187640ED"/>
    <w:rsid w:val="18804AA7"/>
    <w:rsid w:val="18850ACD"/>
    <w:rsid w:val="188C347D"/>
    <w:rsid w:val="188C4F53"/>
    <w:rsid w:val="18A16B9A"/>
    <w:rsid w:val="18A5427C"/>
    <w:rsid w:val="18A94FC3"/>
    <w:rsid w:val="18AB1905"/>
    <w:rsid w:val="18AC724D"/>
    <w:rsid w:val="18AF5199"/>
    <w:rsid w:val="18AF7C5B"/>
    <w:rsid w:val="18B00312"/>
    <w:rsid w:val="18B417E1"/>
    <w:rsid w:val="18B61C67"/>
    <w:rsid w:val="18C0323C"/>
    <w:rsid w:val="18C9246D"/>
    <w:rsid w:val="18CC589D"/>
    <w:rsid w:val="18CC75E7"/>
    <w:rsid w:val="18CF7D05"/>
    <w:rsid w:val="18D979C0"/>
    <w:rsid w:val="18DE1E44"/>
    <w:rsid w:val="18DE5861"/>
    <w:rsid w:val="18DF766E"/>
    <w:rsid w:val="18E67034"/>
    <w:rsid w:val="18E872D7"/>
    <w:rsid w:val="18E921AF"/>
    <w:rsid w:val="18EA68A3"/>
    <w:rsid w:val="18F06558"/>
    <w:rsid w:val="18F3471F"/>
    <w:rsid w:val="18F931E6"/>
    <w:rsid w:val="18FA042B"/>
    <w:rsid w:val="18FE4771"/>
    <w:rsid w:val="19031599"/>
    <w:rsid w:val="19046384"/>
    <w:rsid w:val="19065891"/>
    <w:rsid w:val="190A3D01"/>
    <w:rsid w:val="19173E00"/>
    <w:rsid w:val="19191340"/>
    <w:rsid w:val="191A7BCC"/>
    <w:rsid w:val="191C5792"/>
    <w:rsid w:val="191F3DE5"/>
    <w:rsid w:val="19200B97"/>
    <w:rsid w:val="19254AA6"/>
    <w:rsid w:val="19267DCF"/>
    <w:rsid w:val="19287BE3"/>
    <w:rsid w:val="192A5704"/>
    <w:rsid w:val="192C599A"/>
    <w:rsid w:val="192D02F6"/>
    <w:rsid w:val="192D5B68"/>
    <w:rsid w:val="19314F34"/>
    <w:rsid w:val="19323A9E"/>
    <w:rsid w:val="193774B0"/>
    <w:rsid w:val="193C139A"/>
    <w:rsid w:val="19445068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75935"/>
    <w:rsid w:val="19684070"/>
    <w:rsid w:val="196A0432"/>
    <w:rsid w:val="196B2258"/>
    <w:rsid w:val="196C7350"/>
    <w:rsid w:val="19720BF1"/>
    <w:rsid w:val="197557A0"/>
    <w:rsid w:val="19764535"/>
    <w:rsid w:val="198374F4"/>
    <w:rsid w:val="1989194D"/>
    <w:rsid w:val="19894C83"/>
    <w:rsid w:val="198C5D06"/>
    <w:rsid w:val="19A7296F"/>
    <w:rsid w:val="19AF232D"/>
    <w:rsid w:val="19B94DE5"/>
    <w:rsid w:val="19BB7983"/>
    <w:rsid w:val="19CA4702"/>
    <w:rsid w:val="19D01D27"/>
    <w:rsid w:val="19D76F77"/>
    <w:rsid w:val="19DC3901"/>
    <w:rsid w:val="19DE7440"/>
    <w:rsid w:val="19E45BB3"/>
    <w:rsid w:val="19ED386F"/>
    <w:rsid w:val="19F90091"/>
    <w:rsid w:val="19F91F18"/>
    <w:rsid w:val="19FF1298"/>
    <w:rsid w:val="1A03072C"/>
    <w:rsid w:val="1A045B87"/>
    <w:rsid w:val="1A1660DA"/>
    <w:rsid w:val="1A1F1382"/>
    <w:rsid w:val="1A203F61"/>
    <w:rsid w:val="1A210157"/>
    <w:rsid w:val="1A2364A1"/>
    <w:rsid w:val="1A2C794C"/>
    <w:rsid w:val="1A302DBB"/>
    <w:rsid w:val="1A365F00"/>
    <w:rsid w:val="1A3D75B8"/>
    <w:rsid w:val="1A402130"/>
    <w:rsid w:val="1A484A02"/>
    <w:rsid w:val="1A4D1CE1"/>
    <w:rsid w:val="1A4E78B6"/>
    <w:rsid w:val="1A542FA2"/>
    <w:rsid w:val="1A5571F4"/>
    <w:rsid w:val="1A5760FC"/>
    <w:rsid w:val="1A5B0C0F"/>
    <w:rsid w:val="1A5F2F04"/>
    <w:rsid w:val="1A5F7253"/>
    <w:rsid w:val="1A6A0EEA"/>
    <w:rsid w:val="1A6B64C2"/>
    <w:rsid w:val="1A6D22C8"/>
    <w:rsid w:val="1A6E6393"/>
    <w:rsid w:val="1A6F5AC3"/>
    <w:rsid w:val="1A725418"/>
    <w:rsid w:val="1A7A2EF9"/>
    <w:rsid w:val="1A7C1CC2"/>
    <w:rsid w:val="1A7F4EDC"/>
    <w:rsid w:val="1A7F50E7"/>
    <w:rsid w:val="1A813E2C"/>
    <w:rsid w:val="1A8506F7"/>
    <w:rsid w:val="1A862267"/>
    <w:rsid w:val="1A8F2FDB"/>
    <w:rsid w:val="1A960E81"/>
    <w:rsid w:val="1A972C69"/>
    <w:rsid w:val="1A9A0C93"/>
    <w:rsid w:val="1A9A12C1"/>
    <w:rsid w:val="1AA06663"/>
    <w:rsid w:val="1AB02AE4"/>
    <w:rsid w:val="1AB359A1"/>
    <w:rsid w:val="1ABD31B9"/>
    <w:rsid w:val="1ABF3A95"/>
    <w:rsid w:val="1AC20F7A"/>
    <w:rsid w:val="1AC91D4C"/>
    <w:rsid w:val="1ACE2A77"/>
    <w:rsid w:val="1ACE6E77"/>
    <w:rsid w:val="1AD03069"/>
    <w:rsid w:val="1AD55B02"/>
    <w:rsid w:val="1AD71252"/>
    <w:rsid w:val="1AD972F0"/>
    <w:rsid w:val="1ADA6731"/>
    <w:rsid w:val="1ADC2627"/>
    <w:rsid w:val="1AEA5B10"/>
    <w:rsid w:val="1AED0EC9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1B184B"/>
    <w:rsid w:val="1B1F30D9"/>
    <w:rsid w:val="1B223C37"/>
    <w:rsid w:val="1B2A7E36"/>
    <w:rsid w:val="1B2F42C3"/>
    <w:rsid w:val="1B315167"/>
    <w:rsid w:val="1B324397"/>
    <w:rsid w:val="1B372EB9"/>
    <w:rsid w:val="1B39636C"/>
    <w:rsid w:val="1B3C488F"/>
    <w:rsid w:val="1B40005E"/>
    <w:rsid w:val="1B4268B4"/>
    <w:rsid w:val="1B427936"/>
    <w:rsid w:val="1B466C13"/>
    <w:rsid w:val="1B5D3106"/>
    <w:rsid w:val="1B73181B"/>
    <w:rsid w:val="1B7906CE"/>
    <w:rsid w:val="1B7D07F3"/>
    <w:rsid w:val="1B831B2B"/>
    <w:rsid w:val="1B853A57"/>
    <w:rsid w:val="1B9219EE"/>
    <w:rsid w:val="1B9307F8"/>
    <w:rsid w:val="1B944685"/>
    <w:rsid w:val="1B945678"/>
    <w:rsid w:val="1B9B3AD0"/>
    <w:rsid w:val="1BA258AE"/>
    <w:rsid w:val="1BA57F07"/>
    <w:rsid w:val="1BAA3905"/>
    <w:rsid w:val="1BB01F6E"/>
    <w:rsid w:val="1BB31994"/>
    <w:rsid w:val="1BB81DD8"/>
    <w:rsid w:val="1BB848C7"/>
    <w:rsid w:val="1BB86F3A"/>
    <w:rsid w:val="1BC85001"/>
    <w:rsid w:val="1BCA7505"/>
    <w:rsid w:val="1BD91032"/>
    <w:rsid w:val="1BDB55E4"/>
    <w:rsid w:val="1BDD2FB0"/>
    <w:rsid w:val="1BDF024C"/>
    <w:rsid w:val="1BEA1E6C"/>
    <w:rsid w:val="1BEE4EC9"/>
    <w:rsid w:val="1BEF7D4B"/>
    <w:rsid w:val="1BF60052"/>
    <w:rsid w:val="1BF706ED"/>
    <w:rsid w:val="1BF768CD"/>
    <w:rsid w:val="1BF92025"/>
    <w:rsid w:val="1BF9326D"/>
    <w:rsid w:val="1C020825"/>
    <w:rsid w:val="1C036FDA"/>
    <w:rsid w:val="1C0730F3"/>
    <w:rsid w:val="1C08111C"/>
    <w:rsid w:val="1C0A12E3"/>
    <w:rsid w:val="1C0B33CB"/>
    <w:rsid w:val="1C0D0258"/>
    <w:rsid w:val="1C0D60C9"/>
    <w:rsid w:val="1C17562C"/>
    <w:rsid w:val="1C1869A6"/>
    <w:rsid w:val="1C191CF6"/>
    <w:rsid w:val="1C206F70"/>
    <w:rsid w:val="1C242C80"/>
    <w:rsid w:val="1C277F90"/>
    <w:rsid w:val="1C280B1A"/>
    <w:rsid w:val="1C33796F"/>
    <w:rsid w:val="1C341EE3"/>
    <w:rsid w:val="1C360432"/>
    <w:rsid w:val="1C3B2AED"/>
    <w:rsid w:val="1C3E5B92"/>
    <w:rsid w:val="1C441419"/>
    <w:rsid w:val="1C4774DD"/>
    <w:rsid w:val="1C4A45C4"/>
    <w:rsid w:val="1C4B3310"/>
    <w:rsid w:val="1C561E66"/>
    <w:rsid w:val="1C5E3742"/>
    <w:rsid w:val="1C5F23B1"/>
    <w:rsid w:val="1C6D07BF"/>
    <w:rsid w:val="1C6D4144"/>
    <w:rsid w:val="1C726EC3"/>
    <w:rsid w:val="1C793EB9"/>
    <w:rsid w:val="1C7B65E1"/>
    <w:rsid w:val="1C807142"/>
    <w:rsid w:val="1C90266F"/>
    <w:rsid w:val="1C9A166E"/>
    <w:rsid w:val="1C9C48A7"/>
    <w:rsid w:val="1CA16CCE"/>
    <w:rsid w:val="1CAA7318"/>
    <w:rsid w:val="1CAB1830"/>
    <w:rsid w:val="1CAC629E"/>
    <w:rsid w:val="1CAD2752"/>
    <w:rsid w:val="1CB702E9"/>
    <w:rsid w:val="1CBA5B32"/>
    <w:rsid w:val="1CBC16E4"/>
    <w:rsid w:val="1CBE0F85"/>
    <w:rsid w:val="1CBE5026"/>
    <w:rsid w:val="1CC1651E"/>
    <w:rsid w:val="1CC34B2B"/>
    <w:rsid w:val="1CCB24F8"/>
    <w:rsid w:val="1CCD6D74"/>
    <w:rsid w:val="1CD363DF"/>
    <w:rsid w:val="1CD8702E"/>
    <w:rsid w:val="1CD97139"/>
    <w:rsid w:val="1CE12B9F"/>
    <w:rsid w:val="1CE13063"/>
    <w:rsid w:val="1CE2616E"/>
    <w:rsid w:val="1CF15683"/>
    <w:rsid w:val="1CF333A5"/>
    <w:rsid w:val="1CF53F65"/>
    <w:rsid w:val="1CFA57E6"/>
    <w:rsid w:val="1D023336"/>
    <w:rsid w:val="1D031DDA"/>
    <w:rsid w:val="1D0B731D"/>
    <w:rsid w:val="1D1C33A3"/>
    <w:rsid w:val="1D1D6A68"/>
    <w:rsid w:val="1D1F1D0C"/>
    <w:rsid w:val="1D2054C4"/>
    <w:rsid w:val="1D24658B"/>
    <w:rsid w:val="1D2E77E8"/>
    <w:rsid w:val="1D2F07BE"/>
    <w:rsid w:val="1D3A13E4"/>
    <w:rsid w:val="1D457CE9"/>
    <w:rsid w:val="1D4969F4"/>
    <w:rsid w:val="1D4C117F"/>
    <w:rsid w:val="1D513E68"/>
    <w:rsid w:val="1D563E2F"/>
    <w:rsid w:val="1D5A17CD"/>
    <w:rsid w:val="1D5A3689"/>
    <w:rsid w:val="1D6033FE"/>
    <w:rsid w:val="1D684015"/>
    <w:rsid w:val="1D6B5AD7"/>
    <w:rsid w:val="1D6F79AF"/>
    <w:rsid w:val="1D75565E"/>
    <w:rsid w:val="1D7877C5"/>
    <w:rsid w:val="1D7C6E19"/>
    <w:rsid w:val="1D8F5B72"/>
    <w:rsid w:val="1D8F6826"/>
    <w:rsid w:val="1D9B69B7"/>
    <w:rsid w:val="1D9C5DA0"/>
    <w:rsid w:val="1D9C7126"/>
    <w:rsid w:val="1D9F462B"/>
    <w:rsid w:val="1DA1442D"/>
    <w:rsid w:val="1DA265B5"/>
    <w:rsid w:val="1DB26ED0"/>
    <w:rsid w:val="1DB835A9"/>
    <w:rsid w:val="1DC254A8"/>
    <w:rsid w:val="1DC603E1"/>
    <w:rsid w:val="1DD87513"/>
    <w:rsid w:val="1DEC45ED"/>
    <w:rsid w:val="1DF2745E"/>
    <w:rsid w:val="1DF71982"/>
    <w:rsid w:val="1DF8498F"/>
    <w:rsid w:val="1E02615D"/>
    <w:rsid w:val="1E093D7D"/>
    <w:rsid w:val="1E0A59ED"/>
    <w:rsid w:val="1E143B97"/>
    <w:rsid w:val="1E183872"/>
    <w:rsid w:val="1E1D7E95"/>
    <w:rsid w:val="1E201A27"/>
    <w:rsid w:val="1E217E27"/>
    <w:rsid w:val="1E224747"/>
    <w:rsid w:val="1E2B2F2B"/>
    <w:rsid w:val="1E304B88"/>
    <w:rsid w:val="1E377B48"/>
    <w:rsid w:val="1E3E02E7"/>
    <w:rsid w:val="1E4A4DAB"/>
    <w:rsid w:val="1E556E6E"/>
    <w:rsid w:val="1E6703B7"/>
    <w:rsid w:val="1E680B85"/>
    <w:rsid w:val="1E6B2336"/>
    <w:rsid w:val="1E712925"/>
    <w:rsid w:val="1E767CF5"/>
    <w:rsid w:val="1E7845CD"/>
    <w:rsid w:val="1E8028A0"/>
    <w:rsid w:val="1E8261B5"/>
    <w:rsid w:val="1E8B032D"/>
    <w:rsid w:val="1E8B7AD0"/>
    <w:rsid w:val="1E8E3E30"/>
    <w:rsid w:val="1E9D2018"/>
    <w:rsid w:val="1E9D4737"/>
    <w:rsid w:val="1E9D55A8"/>
    <w:rsid w:val="1EA11D29"/>
    <w:rsid w:val="1EA13E87"/>
    <w:rsid w:val="1EA53D75"/>
    <w:rsid w:val="1EA73541"/>
    <w:rsid w:val="1EAF4E87"/>
    <w:rsid w:val="1EB50D64"/>
    <w:rsid w:val="1EB774F1"/>
    <w:rsid w:val="1EBA43DC"/>
    <w:rsid w:val="1EBF5044"/>
    <w:rsid w:val="1EC11B39"/>
    <w:rsid w:val="1EC80437"/>
    <w:rsid w:val="1EC9295D"/>
    <w:rsid w:val="1ED15DFD"/>
    <w:rsid w:val="1ED509F1"/>
    <w:rsid w:val="1ED874EC"/>
    <w:rsid w:val="1ED94E25"/>
    <w:rsid w:val="1EDB6C5F"/>
    <w:rsid w:val="1EE25AF1"/>
    <w:rsid w:val="1EE36B24"/>
    <w:rsid w:val="1EE4433F"/>
    <w:rsid w:val="1EE6740D"/>
    <w:rsid w:val="1EEC1621"/>
    <w:rsid w:val="1EED7A29"/>
    <w:rsid w:val="1F0D14F3"/>
    <w:rsid w:val="1F0E3B92"/>
    <w:rsid w:val="1F120D07"/>
    <w:rsid w:val="1F141EF2"/>
    <w:rsid w:val="1F1B0E06"/>
    <w:rsid w:val="1F280D38"/>
    <w:rsid w:val="1F303EA7"/>
    <w:rsid w:val="1F30637A"/>
    <w:rsid w:val="1F3111CE"/>
    <w:rsid w:val="1F323579"/>
    <w:rsid w:val="1F3C6AF7"/>
    <w:rsid w:val="1F405E44"/>
    <w:rsid w:val="1F4A3D83"/>
    <w:rsid w:val="1F4E681F"/>
    <w:rsid w:val="1F5174F6"/>
    <w:rsid w:val="1F5324C1"/>
    <w:rsid w:val="1F561E2A"/>
    <w:rsid w:val="1F5E088A"/>
    <w:rsid w:val="1F5F1E2B"/>
    <w:rsid w:val="1F661994"/>
    <w:rsid w:val="1F672A0E"/>
    <w:rsid w:val="1F6833F6"/>
    <w:rsid w:val="1F68659A"/>
    <w:rsid w:val="1F7756A5"/>
    <w:rsid w:val="1F7959F4"/>
    <w:rsid w:val="1F7C19E4"/>
    <w:rsid w:val="1F83562C"/>
    <w:rsid w:val="1F8A5F10"/>
    <w:rsid w:val="1F947917"/>
    <w:rsid w:val="1F952318"/>
    <w:rsid w:val="1FA12A08"/>
    <w:rsid w:val="1FA732AF"/>
    <w:rsid w:val="1FA82FF9"/>
    <w:rsid w:val="1FAC192E"/>
    <w:rsid w:val="1FAD796D"/>
    <w:rsid w:val="1FB01266"/>
    <w:rsid w:val="1FB260BE"/>
    <w:rsid w:val="1FB34CAE"/>
    <w:rsid w:val="1FB50459"/>
    <w:rsid w:val="1FB54204"/>
    <w:rsid w:val="1FB63655"/>
    <w:rsid w:val="1FBA0563"/>
    <w:rsid w:val="1FBD7AAE"/>
    <w:rsid w:val="1FBE77B2"/>
    <w:rsid w:val="1FBF2E17"/>
    <w:rsid w:val="1FC26AB9"/>
    <w:rsid w:val="1FC46F9E"/>
    <w:rsid w:val="1FC511F0"/>
    <w:rsid w:val="1FC7659B"/>
    <w:rsid w:val="1FC97E84"/>
    <w:rsid w:val="1FD35404"/>
    <w:rsid w:val="1FDF6B08"/>
    <w:rsid w:val="1FDF7828"/>
    <w:rsid w:val="1FE045AC"/>
    <w:rsid w:val="1FE34C59"/>
    <w:rsid w:val="1FE76FD3"/>
    <w:rsid w:val="1FE91483"/>
    <w:rsid w:val="1FED166B"/>
    <w:rsid w:val="1FF05FBA"/>
    <w:rsid w:val="1FF2649D"/>
    <w:rsid w:val="1FF82D26"/>
    <w:rsid w:val="2000119F"/>
    <w:rsid w:val="20007200"/>
    <w:rsid w:val="20023827"/>
    <w:rsid w:val="200D53BE"/>
    <w:rsid w:val="200E46CD"/>
    <w:rsid w:val="20107ED3"/>
    <w:rsid w:val="201359DF"/>
    <w:rsid w:val="20140382"/>
    <w:rsid w:val="201C304F"/>
    <w:rsid w:val="201C690F"/>
    <w:rsid w:val="20263D53"/>
    <w:rsid w:val="20275ED1"/>
    <w:rsid w:val="203004BA"/>
    <w:rsid w:val="20350A1F"/>
    <w:rsid w:val="203B1416"/>
    <w:rsid w:val="203C2005"/>
    <w:rsid w:val="20420995"/>
    <w:rsid w:val="20447B3E"/>
    <w:rsid w:val="204619A3"/>
    <w:rsid w:val="204D7AED"/>
    <w:rsid w:val="204F595B"/>
    <w:rsid w:val="20532924"/>
    <w:rsid w:val="20533D65"/>
    <w:rsid w:val="205A627C"/>
    <w:rsid w:val="205C4AF1"/>
    <w:rsid w:val="206301A7"/>
    <w:rsid w:val="20642E89"/>
    <w:rsid w:val="2067334B"/>
    <w:rsid w:val="206F7CD5"/>
    <w:rsid w:val="207778B9"/>
    <w:rsid w:val="207A2037"/>
    <w:rsid w:val="207E34E5"/>
    <w:rsid w:val="20850EC1"/>
    <w:rsid w:val="20911227"/>
    <w:rsid w:val="20934FE0"/>
    <w:rsid w:val="209511C3"/>
    <w:rsid w:val="209A17A4"/>
    <w:rsid w:val="209E715A"/>
    <w:rsid w:val="20A70ABE"/>
    <w:rsid w:val="20AC38F6"/>
    <w:rsid w:val="20B0161D"/>
    <w:rsid w:val="20B836F9"/>
    <w:rsid w:val="20BD741D"/>
    <w:rsid w:val="20BF422E"/>
    <w:rsid w:val="20C10077"/>
    <w:rsid w:val="20C261C8"/>
    <w:rsid w:val="20C37A68"/>
    <w:rsid w:val="20C96FD1"/>
    <w:rsid w:val="20CC2666"/>
    <w:rsid w:val="20CF2597"/>
    <w:rsid w:val="20D562D7"/>
    <w:rsid w:val="20D7289C"/>
    <w:rsid w:val="20D957D0"/>
    <w:rsid w:val="20DA5281"/>
    <w:rsid w:val="20DB6325"/>
    <w:rsid w:val="20E35BDE"/>
    <w:rsid w:val="20E416D2"/>
    <w:rsid w:val="20E9348D"/>
    <w:rsid w:val="20EA208F"/>
    <w:rsid w:val="20EB3474"/>
    <w:rsid w:val="20EF451E"/>
    <w:rsid w:val="20F667B9"/>
    <w:rsid w:val="20F90A4D"/>
    <w:rsid w:val="20FB68DB"/>
    <w:rsid w:val="20FB7568"/>
    <w:rsid w:val="20FE7CFF"/>
    <w:rsid w:val="21053D89"/>
    <w:rsid w:val="21065641"/>
    <w:rsid w:val="210D2CDA"/>
    <w:rsid w:val="21140B1B"/>
    <w:rsid w:val="21150BAB"/>
    <w:rsid w:val="211C198B"/>
    <w:rsid w:val="211C7EF8"/>
    <w:rsid w:val="21201AED"/>
    <w:rsid w:val="21252CA9"/>
    <w:rsid w:val="212F6A59"/>
    <w:rsid w:val="213020AE"/>
    <w:rsid w:val="21306305"/>
    <w:rsid w:val="213170F5"/>
    <w:rsid w:val="21330562"/>
    <w:rsid w:val="21335DA6"/>
    <w:rsid w:val="21361B20"/>
    <w:rsid w:val="213D54AD"/>
    <w:rsid w:val="214169BB"/>
    <w:rsid w:val="2144141D"/>
    <w:rsid w:val="214B1974"/>
    <w:rsid w:val="214F4863"/>
    <w:rsid w:val="21504A40"/>
    <w:rsid w:val="215522BF"/>
    <w:rsid w:val="215F7E39"/>
    <w:rsid w:val="2163647D"/>
    <w:rsid w:val="216C54DE"/>
    <w:rsid w:val="216E4095"/>
    <w:rsid w:val="216E4553"/>
    <w:rsid w:val="217106CC"/>
    <w:rsid w:val="21741E6D"/>
    <w:rsid w:val="217C7971"/>
    <w:rsid w:val="217D44BC"/>
    <w:rsid w:val="21840F69"/>
    <w:rsid w:val="218F61F1"/>
    <w:rsid w:val="21936BCB"/>
    <w:rsid w:val="219619F8"/>
    <w:rsid w:val="219842E4"/>
    <w:rsid w:val="21997056"/>
    <w:rsid w:val="219B2AEE"/>
    <w:rsid w:val="219D3F2A"/>
    <w:rsid w:val="21AA5245"/>
    <w:rsid w:val="21AB4F6A"/>
    <w:rsid w:val="21AB77F7"/>
    <w:rsid w:val="21AC4ECC"/>
    <w:rsid w:val="21AD30AE"/>
    <w:rsid w:val="21B50781"/>
    <w:rsid w:val="21B87C47"/>
    <w:rsid w:val="21BF03BC"/>
    <w:rsid w:val="21BF480E"/>
    <w:rsid w:val="21C05C8D"/>
    <w:rsid w:val="21C447A5"/>
    <w:rsid w:val="21C83388"/>
    <w:rsid w:val="21CA711F"/>
    <w:rsid w:val="21CB0E2A"/>
    <w:rsid w:val="21D06D34"/>
    <w:rsid w:val="21D372BD"/>
    <w:rsid w:val="21D413E2"/>
    <w:rsid w:val="21D47A13"/>
    <w:rsid w:val="21D52CEC"/>
    <w:rsid w:val="21D83EFE"/>
    <w:rsid w:val="21F54612"/>
    <w:rsid w:val="21FF71D8"/>
    <w:rsid w:val="22021B37"/>
    <w:rsid w:val="2208516B"/>
    <w:rsid w:val="2209399D"/>
    <w:rsid w:val="22101F8E"/>
    <w:rsid w:val="221E498F"/>
    <w:rsid w:val="222165C4"/>
    <w:rsid w:val="2225227E"/>
    <w:rsid w:val="222A2727"/>
    <w:rsid w:val="222E6801"/>
    <w:rsid w:val="222F381A"/>
    <w:rsid w:val="22315922"/>
    <w:rsid w:val="22343124"/>
    <w:rsid w:val="22454AA6"/>
    <w:rsid w:val="224E39DE"/>
    <w:rsid w:val="224E74D0"/>
    <w:rsid w:val="22520D88"/>
    <w:rsid w:val="225C1E49"/>
    <w:rsid w:val="225D726E"/>
    <w:rsid w:val="22680B07"/>
    <w:rsid w:val="22681A0E"/>
    <w:rsid w:val="226E20BA"/>
    <w:rsid w:val="22713317"/>
    <w:rsid w:val="227D6059"/>
    <w:rsid w:val="227F5037"/>
    <w:rsid w:val="228041D7"/>
    <w:rsid w:val="228A008B"/>
    <w:rsid w:val="228A2082"/>
    <w:rsid w:val="228D63FC"/>
    <w:rsid w:val="229553C9"/>
    <w:rsid w:val="229A7E25"/>
    <w:rsid w:val="229D01C1"/>
    <w:rsid w:val="229F462B"/>
    <w:rsid w:val="22A72B65"/>
    <w:rsid w:val="22AA0362"/>
    <w:rsid w:val="22AA773F"/>
    <w:rsid w:val="22B059F5"/>
    <w:rsid w:val="22B06BDB"/>
    <w:rsid w:val="22B21CAB"/>
    <w:rsid w:val="22B63FB8"/>
    <w:rsid w:val="22B92A8B"/>
    <w:rsid w:val="22BA2D5C"/>
    <w:rsid w:val="22BA6F2B"/>
    <w:rsid w:val="22BC7DF2"/>
    <w:rsid w:val="22BD19A6"/>
    <w:rsid w:val="22BD504B"/>
    <w:rsid w:val="22D41540"/>
    <w:rsid w:val="22D61781"/>
    <w:rsid w:val="22E30977"/>
    <w:rsid w:val="22E30F99"/>
    <w:rsid w:val="22E51E43"/>
    <w:rsid w:val="22E95A8D"/>
    <w:rsid w:val="22EF5453"/>
    <w:rsid w:val="22F017B2"/>
    <w:rsid w:val="22F7088E"/>
    <w:rsid w:val="22F97E5B"/>
    <w:rsid w:val="22FA647A"/>
    <w:rsid w:val="22FB21DC"/>
    <w:rsid w:val="23003817"/>
    <w:rsid w:val="23022B06"/>
    <w:rsid w:val="23042520"/>
    <w:rsid w:val="230B07F6"/>
    <w:rsid w:val="230D1610"/>
    <w:rsid w:val="23143B37"/>
    <w:rsid w:val="231544D3"/>
    <w:rsid w:val="2315496B"/>
    <w:rsid w:val="231637F9"/>
    <w:rsid w:val="231A014A"/>
    <w:rsid w:val="23221784"/>
    <w:rsid w:val="23230E78"/>
    <w:rsid w:val="23243296"/>
    <w:rsid w:val="232A4513"/>
    <w:rsid w:val="232A7369"/>
    <w:rsid w:val="232B528D"/>
    <w:rsid w:val="232C27B2"/>
    <w:rsid w:val="232C343E"/>
    <w:rsid w:val="232E7AA0"/>
    <w:rsid w:val="232F4B8E"/>
    <w:rsid w:val="233027B0"/>
    <w:rsid w:val="233779B4"/>
    <w:rsid w:val="2341558C"/>
    <w:rsid w:val="23415924"/>
    <w:rsid w:val="23437735"/>
    <w:rsid w:val="23566DDF"/>
    <w:rsid w:val="23572E7E"/>
    <w:rsid w:val="235924CA"/>
    <w:rsid w:val="23592D87"/>
    <w:rsid w:val="235F162F"/>
    <w:rsid w:val="23673863"/>
    <w:rsid w:val="236A053E"/>
    <w:rsid w:val="236D4F13"/>
    <w:rsid w:val="23752F81"/>
    <w:rsid w:val="237B7D6C"/>
    <w:rsid w:val="238015EC"/>
    <w:rsid w:val="23837B67"/>
    <w:rsid w:val="23857493"/>
    <w:rsid w:val="238755B6"/>
    <w:rsid w:val="23885214"/>
    <w:rsid w:val="238944BF"/>
    <w:rsid w:val="238B65DE"/>
    <w:rsid w:val="238D0169"/>
    <w:rsid w:val="2390760E"/>
    <w:rsid w:val="239130F2"/>
    <w:rsid w:val="239B728F"/>
    <w:rsid w:val="239D405B"/>
    <w:rsid w:val="23A06FB8"/>
    <w:rsid w:val="23AE6E9E"/>
    <w:rsid w:val="23B02460"/>
    <w:rsid w:val="23B94969"/>
    <w:rsid w:val="23BD6F6C"/>
    <w:rsid w:val="23BF30A4"/>
    <w:rsid w:val="23C62FD3"/>
    <w:rsid w:val="23C80F4A"/>
    <w:rsid w:val="23C92FE4"/>
    <w:rsid w:val="23CE5D21"/>
    <w:rsid w:val="23D160BB"/>
    <w:rsid w:val="23D2612A"/>
    <w:rsid w:val="23D33566"/>
    <w:rsid w:val="23D53925"/>
    <w:rsid w:val="23D9762E"/>
    <w:rsid w:val="23DF2C6B"/>
    <w:rsid w:val="23E14E6C"/>
    <w:rsid w:val="23E173A1"/>
    <w:rsid w:val="23E22C3C"/>
    <w:rsid w:val="23E3610D"/>
    <w:rsid w:val="23E52298"/>
    <w:rsid w:val="23E94462"/>
    <w:rsid w:val="23F06611"/>
    <w:rsid w:val="23F46EA8"/>
    <w:rsid w:val="24090775"/>
    <w:rsid w:val="240A6080"/>
    <w:rsid w:val="240E5D2B"/>
    <w:rsid w:val="24137B5B"/>
    <w:rsid w:val="24176341"/>
    <w:rsid w:val="24194B93"/>
    <w:rsid w:val="241E1F2D"/>
    <w:rsid w:val="24211333"/>
    <w:rsid w:val="242461D7"/>
    <w:rsid w:val="24246A60"/>
    <w:rsid w:val="24255B0A"/>
    <w:rsid w:val="242752F5"/>
    <w:rsid w:val="242778EB"/>
    <w:rsid w:val="242A43E1"/>
    <w:rsid w:val="242C04D9"/>
    <w:rsid w:val="242E2FF6"/>
    <w:rsid w:val="242E7ECB"/>
    <w:rsid w:val="243E6A2B"/>
    <w:rsid w:val="24401E98"/>
    <w:rsid w:val="2441528D"/>
    <w:rsid w:val="2446648F"/>
    <w:rsid w:val="244B2AFB"/>
    <w:rsid w:val="244F2484"/>
    <w:rsid w:val="24506BD9"/>
    <w:rsid w:val="24507298"/>
    <w:rsid w:val="24550926"/>
    <w:rsid w:val="24574CEB"/>
    <w:rsid w:val="245D41D2"/>
    <w:rsid w:val="24667266"/>
    <w:rsid w:val="246E676E"/>
    <w:rsid w:val="24731A96"/>
    <w:rsid w:val="24757318"/>
    <w:rsid w:val="247A5C3A"/>
    <w:rsid w:val="247C5EE2"/>
    <w:rsid w:val="247C7B9E"/>
    <w:rsid w:val="247F6CC6"/>
    <w:rsid w:val="24837A35"/>
    <w:rsid w:val="248654B3"/>
    <w:rsid w:val="248907B2"/>
    <w:rsid w:val="24997716"/>
    <w:rsid w:val="249A5E20"/>
    <w:rsid w:val="249C2676"/>
    <w:rsid w:val="249C6208"/>
    <w:rsid w:val="249E39E8"/>
    <w:rsid w:val="24A20ED0"/>
    <w:rsid w:val="24A34E4A"/>
    <w:rsid w:val="24A70648"/>
    <w:rsid w:val="24A87F5C"/>
    <w:rsid w:val="24AC41BF"/>
    <w:rsid w:val="24B06136"/>
    <w:rsid w:val="24B631A8"/>
    <w:rsid w:val="24B93780"/>
    <w:rsid w:val="24BD38BA"/>
    <w:rsid w:val="24C0685F"/>
    <w:rsid w:val="24CD6DBE"/>
    <w:rsid w:val="24D20A06"/>
    <w:rsid w:val="24D51CDF"/>
    <w:rsid w:val="24DA355D"/>
    <w:rsid w:val="24E57853"/>
    <w:rsid w:val="24E77BE6"/>
    <w:rsid w:val="24F17428"/>
    <w:rsid w:val="24F24750"/>
    <w:rsid w:val="24F938F3"/>
    <w:rsid w:val="24F94BF2"/>
    <w:rsid w:val="250253B9"/>
    <w:rsid w:val="250C5C6A"/>
    <w:rsid w:val="25165BAC"/>
    <w:rsid w:val="2517098B"/>
    <w:rsid w:val="25176627"/>
    <w:rsid w:val="251E0656"/>
    <w:rsid w:val="252053F9"/>
    <w:rsid w:val="25280B69"/>
    <w:rsid w:val="25280CBE"/>
    <w:rsid w:val="252A4786"/>
    <w:rsid w:val="25304AD5"/>
    <w:rsid w:val="25327207"/>
    <w:rsid w:val="25395126"/>
    <w:rsid w:val="254520AA"/>
    <w:rsid w:val="25462832"/>
    <w:rsid w:val="25467DBB"/>
    <w:rsid w:val="25473E3C"/>
    <w:rsid w:val="254C4068"/>
    <w:rsid w:val="254E34FC"/>
    <w:rsid w:val="25515E07"/>
    <w:rsid w:val="255224B3"/>
    <w:rsid w:val="25584ADE"/>
    <w:rsid w:val="255A3DDD"/>
    <w:rsid w:val="255E0BEA"/>
    <w:rsid w:val="25627A70"/>
    <w:rsid w:val="256343AC"/>
    <w:rsid w:val="25645072"/>
    <w:rsid w:val="25675495"/>
    <w:rsid w:val="256777BF"/>
    <w:rsid w:val="25771B32"/>
    <w:rsid w:val="257C1A72"/>
    <w:rsid w:val="257C2374"/>
    <w:rsid w:val="257C76CA"/>
    <w:rsid w:val="257F18B5"/>
    <w:rsid w:val="25805FF5"/>
    <w:rsid w:val="25880457"/>
    <w:rsid w:val="258A3283"/>
    <w:rsid w:val="258E66DC"/>
    <w:rsid w:val="258F15BB"/>
    <w:rsid w:val="259231BD"/>
    <w:rsid w:val="259B0F56"/>
    <w:rsid w:val="25A77DD4"/>
    <w:rsid w:val="25AD3F3E"/>
    <w:rsid w:val="25AE0C1E"/>
    <w:rsid w:val="25BB6C64"/>
    <w:rsid w:val="25C87522"/>
    <w:rsid w:val="25C97301"/>
    <w:rsid w:val="25CC4C1C"/>
    <w:rsid w:val="25CD7961"/>
    <w:rsid w:val="25D33C43"/>
    <w:rsid w:val="25D64403"/>
    <w:rsid w:val="25DC0E91"/>
    <w:rsid w:val="25E156B1"/>
    <w:rsid w:val="25E32F35"/>
    <w:rsid w:val="25EB7CD4"/>
    <w:rsid w:val="25F04B7D"/>
    <w:rsid w:val="25F51596"/>
    <w:rsid w:val="25F67042"/>
    <w:rsid w:val="260054CC"/>
    <w:rsid w:val="26071C55"/>
    <w:rsid w:val="260A55DA"/>
    <w:rsid w:val="260B255C"/>
    <w:rsid w:val="2611495B"/>
    <w:rsid w:val="2618762A"/>
    <w:rsid w:val="26217848"/>
    <w:rsid w:val="262218B2"/>
    <w:rsid w:val="2625247E"/>
    <w:rsid w:val="262B2F0B"/>
    <w:rsid w:val="262E20E8"/>
    <w:rsid w:val="262E34C1"/>
    <w:rsid w:val="263E0775"/>
    <w:rsid w:val="2640682F"/>
    <w:rsid w:val="26472F6E"/>
    <w:rsid w:val="264F2FA3"/>
    <w:rsid w:val="26510DB8"/>
    <w:rsid w:val="26531A21"/>
    <w:rsid w:val="265559D0"/>
    <w:rsid w:val="265A4DDA"/>
    <w:rsid w:val="266239C5"/>
    <w:rsid w:val="26626905"/>
    <w:rsid w:val="26667EB2"/>
    <w:rsid w:val="266B1FB8"/>
    <w:rsid w:val="26712A32"/>
    <w:rsid w:val="267B7FD0"/>
    <w:rsid w:val="267E518B"/>
    <w:rsid w:val="26872779"/>
    <w:rsid w:val="26874AF8"/>
    <w:rsid w:val="2689029B"/>
    <w:rsid w:val="269478D8"/>
    <w:rsid w:val="26993F8A"/>
    <w:rsid w:val="269B3F13"/>
    <w:rsid w:val="269C594C"/>
    <w:rsid w:val="26A17EEF"/>
    <w:rsid w:val="26A4288C"/>
    <w:rsid w:val="26A608EC"/>
    <w:rsid w:val="26A63366"/>
    <w:rsid w:val="26A968B5"/>
    <w:rsid w:val="26AC5BFD"/>
    <w:rsid w:val="26AD7047"/>
    <w:rsid w:val="26B31383"/>
    <w:rsid w:val="26B9766D"/>
    <w:rsid w:val="26BA59F2"/>
    <w:rsid w:val="26BD1ECD"/>
    <w:rsid w:val="26C36DE5"/>
    <w:rsid w:val="26C81E72"/>
    <w:rsid w:val="26C868EA"/>
    <w:rsid w:val="26C9404D"/>
    <w:rsid w:val="26CD53A8"/>
    <w:rsid w:val="26D323BB"/>
    <w:rsid w:val="26D45590"/>
    <w:rsid w:val="26DB67F4"/>
    <w:rsid w:val="26E53AE2"/>
    <w:rsid w:val="26E706E3"/>
    <w:rsid w:val="26EB2849"/>
    <w:rsid w:val="26EB45E1"/>
    <w:rsid w:val="26F017B3"/>
    <w:rsid w:val="26F3146A"/>
    <w:rsid w:val="26F40E3F"/>
    <w:rsid w:val="26F40EBD"/>
    <w:rsid w:val="26F85687"/>
    <w:rsid w:val="26F973AB"/>
    <w:rsid w:val="26FA2DE3"/>
    <w:rsid w:val="26FF74CD"/>
    <w:rsid w:val="27003A4A"/>
    <w:rsid w:val="270404E8"/>
    <w:rsid w:val="27125B0D"/>
    <w:rsid w:val="27130E1A"/>
    <w:rsid w:val="271A3CFE"/>
    <w:rsid w:val="27222699"/>
    <w:rsid w:val="27240467"/>
    <w:rsid w:val="27262E16"/>
    <w:rsid w:val="272A3F42"/>
    <w:rsid w:val="273216D6"/>
    <w:rsid w:val="273666A6"/>
    <w:rsid w:val="273D1CBA"/>
    <w:rsid w:val="27462901"/>
    <w:rsid w:val="274730E2"/>
    <w:rsid w:val="2749419F"/>
    <w:rsid w:val="274A7B1A"/>
    <w:rsid w:val="2750726F"/>
    <w:rsid w:val="275439E1"/>
    <w:rsid w:val="275658F1"/>
    <w:rsid w:val="276142AB"/>
    <w:rsid w:val="27621C7A"/>
    <w:rsid w:val="27625732"/>
    <w:rsid w:val="276320D7"/>
    <w:rsid w:val="276F3D3A"/>
    <w:rsid w:val="27711B2C"/>
    <w:rsid w:val="27744B4E"/>
    <w:rsid w:val="2778684B"/>
    <w:rsid w:val="277A5E6A"/>
    <w:rsid w:val="277E547B"/>
    <w:rsid w:val="278A6416"/>
    <w:rsid w:val="279408D2"/>
    <w:rsid w:val="279A2ED3"/>
    <w:rsid w:val="27A23025"/>
    <w:rsid w:val="27A46397"/>
    <w:rsid w:val="27A8729F"/>
    <w:rsid w:val="27B02558"/>
    <w:rsid w:val="27B027C6"/>
    <w:rsid w:val="27B03EC1"/>
    <w:rsid w:val="27B72C5F"/>
    <w:rsid w:val="27B91021"/>
    <w:rsid w:val="27BA3133"/>
    <w:rsid w:val="27C06D17"/>
    <w:rsid w:val="27C66099"/>
    <w:rsid w:val="27CA7CDA"/>
    <w:rsid w:val="27DF1D24"/>
    <w:rsid w:val="27E30D7E"/>
    <w:rsid w:val="27E43C95"/>
    <w:rsid w:val="27F20EFC"/>
    <w:rsid w:val="27FB11A8"/>
    <w:rsid w:val="27FE4240"/>
    <w:rsid w:val="27FF2D7D"/>
    <w:rsid w:val="280008FF"/>
    <w:rsid w:val="28050D91"/>
    <w:rsid w:val="280A73A7"/>
    <w:rsid w:val="280B0292"/>
    <w:rsid w:val="281035C6"/>
    <w:rsid w:val="28140E2A"/>
    <w:rsid w:val="2824417F"/>
    <w:rsid w:val="28255041"/>
    <w:rsid w:val="282B1213"/>
    <w:rsid w:val="2835725E"/>
    <w:rsid w:val="283832F0"/>
    <w:rsid w:val="283A1E3E"/>
    <w:rsid w:val="283F0B9A"/>
    <w:rsid w:val="284543A1"/>
    <w:rsid w:val="284716F2"/>
    <w:rsid w:val="28506F1C"/>
    <w:rsid w:val="285465E8"/>
    <w:rsid w:val="28553E1D"/>
    <w:rsid w:val="2859475D"/>
    <w:rsid w:val="2866568E"/>
    <w:rsid w:val="28693318"/>
    <w:rsid w:val="286B3B61"/>
    <w:rsid w:val="286C6B63"/>
    <w:rsid w:val="286D43F4"/>
    <w:rsid w:val="286F5A89"/>
    <w:rsid w:val="28754C0A"/>
    <w:rsid w:val="28765DD5"/>
    <w:rsid w:val="28821314"/>
    <w:rsid w:val="2891501A"/>
    <w:rsid w:val="28937E6D"/>
    <w:rsid w:val="289575D6"/>
    <w:rsid w:val="289C154A"/>
    <w:rsid w:val="28A378EA"/>
    <w:rsid w:val="28A66523"/>
    <w:rsid w:val="28AB4F28"/>
    <w:rsid w:val="28AD2029"/>
    <w:rsid w:val="28AE4FA7"/>
    <w:rsid w:val="28B220F4"/>
    <w:rsid w:val="28B230D9"/>
    <w:rsid w:val="28B23E86"/>
    <w:rsid w:val="28BD44AE"/>
    <w:rsid w:val="28C075A4"/>
    <w:rsid w:val="28CE2A8C"/>
    <w:rsid w:val="28D139F1"/>
    <w:rsid w:val="28D5169B"/>
    <w:rsid w:val="28DA6C60"/>
    <w:rsid w:val="28DB0A30"/>
    <w:rsid w:val="28DD2C80"/>
    <w:rsid w:val="28E00B52"/>
    <w:rsid w:val="28E66C2D"/>
    <w:rsid w:val="28F00706"/>
    <w:rsid w:val="28F33F0D"/>
    <w:rsid w:val="28F41620"/>
    <w:rsid w:val="28F72DB8"/>
    <w:rsid w:val="28F91877"/>
    <w:rsid w:val="28F925C2"/>
    <w:rsid w:val="28F95F71"/>
    <w:rsid w:val="28FE6A8A"/>
    <w:rsid w:val="290517ED"/>
    <w:rsid w:val="290753B9"/>
    <w:rsid w:val="291415DC"/>
    <w:rsid w:val="291712DF"/>
    <w:rsid w:val="29192BE8"/>
    <w:rsid w:val="291A0B21"/>
    <w:rsid w:val="291C432F"/>
    <w:rsid w:val="291D21EF"/>
    <w:rsid w:val="291F738B"/>
    <w:rsid w:val="29264B1F"/>
    <w:rsid w:val="29270605"/>
    <w:rsid w:val="292A140D"/>
    <w:rsid w:val="292A375F"/>
    <w:rsid w:val="29316984"/>
    <w:rsid w:val="293310A0"/>
    <w:rsid w:val="2938092A"/>
    <w:rsid w:val="293955A6"/>
    <w:rsid w:val="293966D9"/>
    <w:rsid w:val="29425246"/>
    <w:rsid w:val="2946144E"/>
    <w:rsid w:val="2946760C"/>
    <w:rsid w:val="29485EB7"/>
    <w:rsid w:val="29487D92"/>
    <w:rsid w:val="294A5BC8"/>
    <w:rsid w:val="29504176"/>
    <w:rsid w:val="29512FCE"/>
    <w:rsid w:val="29572948"/>
    <w:rsid w:val="296865F6"/>
    <w:rsid w:val="296B20A7"/>
    <w:rsid w:val="297D1A8B"/>
    <w:rsid w:val="298C22CD"/>
    <w:rsid w:val="29981CF5"/>
    <w:rsid w:val="299C6B98"/>
    <w:rsid w:val="29A4634A"/>
    <w:rsid w:val="29A84DD1"/>
    <w:rsid w:val="29A95FC5"/>
    <w:rsid w:val="29AA2390"/>
    <w:rsid w:val="29AA3349"/>
    <w:rsid w:val="29B23BCE"/>
    <w:rsid w:val="29B301F6"/>
    <w:rsid w:val="29B85AFC"/>
    <w:rsid w:val="29BB286D"/>
    <w:rsid w:val="29BB74AF"/>
    <w:rsid w:val="29BC2AA4"/>
    <w:rsid w:val="29BF2F72"/>
    <w:rsid w:val="29C37AC4"/>
    <w:rsid w:val="29CD2270"/>
    <w:rsid w:val="29D03220"/>
    <w:rsid w:val="29D0429A"/>
    <w:rsid w:val="29D22D87"/>
    <w:rsid w:val="29D873B9"/>
    <w:rsid w:val="29DA58FD"/>
    <w:rsid w:val="29DB020F"/>
    <w:rsid w:val="29DE0F27"/>
    <w:rsid w:val="29E06591"/>
    <w:rsid w:val="29E30048"/>
    <w:rsid w:val="29E64370"/>
    <w:rsid w:val="29E765AE"/>
    <w:rsid w:val="29EB2636"/>
    <w:rsid w:val="29ED4F50"/>
    <w:rsid w:val="29F26903"/>
    <w:rsid w:val="29F64A6B"/>
    <w:rsid w:val="29FB4537"/>
    <w:rsid w:val="29FD3742"/>
    <w:rsid w:val="2A06427E"/>
    <w:rsid w:val="2A0F1A72"/>
    <w:rsid w:val="2A0F7591"/>
    <w:rsid w:val="2A10104D"/>
    <w:rsid w:val="2A13176E"/>
    <w:rsid w:val="2A1723D3"/>
    <w:rsid w:val="2A196A56"/>
    <w:rsid w:val="2A1C361A"/>
    <w:rsid w:val="2A216713"/>
    <w:rsid w:val="2A220953"/>
    <w:rsid w:val="2A222BC6"/>
    <w:rsid w:val="2A2F350E"/>
    <w:rsid w:val="2A374404"/>
    <w:rsid w:val="2A3B063B"/>
    <w:rsid w:val="2A3E15CC"/>
    <w:rsid w:val="2A49761F"/>
    <w:rsid w:val="2A4C74B8"/>
    <w:rsid w:val="2A4F133B"/>
    <w:rsid w:val="2A4F49D1"/>
    <w:rsid w:val="2A500712"/>
    <w:rsid w:val="2A5B21E2"/>
    <w:rsid w:val="2A5C5A20"/>
    <w:rsid w:val="2A60320F"/>
    <w:rsid w:val="2A627A42"/>
    <w:rsid w:val="2A630308"/>
    <w:rsid w:val="2A657762"/>
    <w:rsid w:val="2A676AD0"/>
    <w:rsid w:val="2A687AA6"/>
    <w:rsid w:val="2A6A2073"/>
    <w:rsid w:val="2A7317FC"/>
    <w:rsid w:val="2A770CC7"/>
    <w:rsid w:val="2A7A022E"/>
    <w:rsid w:val="2A7B6C4A"/>
    <w:rsid w:val="2A8A27A6"/>
    <w:rsid w:val="2A8B1FCC"/>
    <w:rsid w:val="2A9303DF"/>
    <w:rsid w:val="2A9A66D4"/>
    <w:rsid w:val="2AA1007B"/>
    <w:rsid w:val="2AA12DD3"/>
    <w:rsid w:val="2AAA29AB"/>
    <w:rsid w:val="2AAA4B39"/>
    <w:rsid w:val="2AAB1744"/>
    <w:rsid w:val="2AAC36BD"/>
    <w:rsid w:val="2AB04937"/>
    <w:rsid w:val="2AB1542B"/>
    <w:rsid w:val="2AB86677"/>
    <w:rsid w:val="2ABA266F"/>
    <w:rsid w:val="2ABC2E55"/>
    <w:rsid w:val="2AC90132"/>
    <w:rsid w:val="2ACB6665"/>
    <w:rsid w:val="2ACF5AEC"/>
    <w:rsid w:val="2AD62AB0"/>
    <w:rsid w:val="2ADC1447"/>
    <w:rsid w:val="2ADE1583"/>
    <w:rsid w:val="2AE70523"/>
    <w:rsid w:val="2AF12CDF"/>
    <w:rsid w:val="2AF27DCB"/>
    <w:rsid w:val="2AF92B4F"/>
    <w:rsid w:val="2AFC24E6"/>
    <w:rsid w:val="2B0726A6"/>
    <w:rsid w:val="2B090320"/>
    <w:rsid w:val="2B0C6B23"/>
    <w:rsid w:val="2B184057"/>
    <w:rsid w:val="2B19210F"/>
    <w:rsid w:val="2B1D6F4B"/>
    <w:rsid w:val="2B230331"/>
    <w:rsid w:val="2B2628D4"/>
    <w:rsid w:val="2B2B5653"/>
    <w:rsid w:val="2B2D1363"/>
    <w:rsid w:val="2B306C2A"/>
    <w:rsid w:val="2B335E16"/>
    <w:rsid w:val="2B3429F1"/>
    <w:rsid w:val="2B3A1DF7"/>
    <w:rsid w:val="2B3B71ED"/>
    <w:rsid w:val="2B42025A"/>
    <w:rsid w:val="2B450516"/>
    <w:rsid w:val="2B4526E2"/>
    <w:rsid w:val="2B4722C4"/>
    <w:rsid w:val="2B4F4A14"/>
    <w:rsid w:val="2B592A46"/>
    <w:rsid w:val="2B5B7165"/>
    <w:rsid w:val="2B611B55"/>
    <w:rsid w:val="2B623516"/>
    <w:rsid w:val="2B662258"/>
    <w:rsid w:val="2B686C09"/>
    <w:rsid w:val="2B795BD8"/>
    <w:rsid w:val="2B8311DA"/>
    <w:rsid w:val="2B833F8F"/>
    <w:rsid w:val="2B8759DF"/>
    <w:rsid w:val="2B8B34AB"/>
    <w:rsid w:val="2B914C5E"/>
    <w:rsid w:val="2BA252E6"/>
    <w:rsid w:val="2BA53554"/>
    <w:rsid w:val="2BAC4FE7"/>
    <w:rsid w:val="2BB0363B"/>
    <w:rsid w:val="2BB44220"/>
    <w:rsid w:val="2BB61EA7"/>
    <w:rsid w:val="2BBA6EF5"/>
    <w:rsid w:val="2BBD5502"/>
    <w:rsid w:val="2BBE53B4"/>
    <w:rsid w:val="2BC03979"/>
    <w:rsid w:val="2BC873B9"/>
    <w:rsid w:val="2BC941AF"/>
    <w:rsid w:val="2BD01C8D"/>
    <w:rsid w:val="2BD67F06"/>
    <w:rsid w:val="2BDC02CD"/>
    <w:rsid w:val="2BDF4442"/>
    <w:rsid w:val="2BE64A3E"/>
    <w:rsid w:val="2BEC4F7F"/>
    <w:rsid w:val="2BF00C4E"/>
    <w:rsid w:val="2BF01DD3"/>
    <w:rsid w:val="2BF51B27"/>
    <w:rsid w:val="2BF52156"/>
    <w:rsid w:val="2C005788"/>
    <w:rsid w:val="2C11705A"/>
    <w:rsid w:val="2C1216FD"/>
    <w:rsid w:val="2C1A4267"/>
    <w:rsid w:val="2C1D636E"/>
    <w:rsid w:val="2C1F2C4F"/>
    <w:rsid w:val="2C1F7DED"/>
    <w:rsid w:val="2C2062AE"/>
    <w:rsid w:val="2C212418"/>
    <w:rsid w:val="2C23745C"/>
    <w:rsid w:val="2C253658"/>
    <w:rsid w:val="2C25375B"/>
    <w:rsid w:val="2C274174"/>
    <w:rsid w:val="2C2F1705"/>
    <w:rsid w:val="2C31232B"/>
    <w:rsid w:val="2C3147DC"/>
    <w:rsid w:val="2C395B9E"/>
    <w:rsid w:val="2C3B4053"/>
    <w:rsid w:val="2C3E67F9"/>
    <w:rsid w:val="2C416890"/>
    <w:rsid w:val="2C416E6F"/>
    <w:rsid w:val="2C4725E8"/>
    <w:rsid w:val="2C4D767D"/>
    <w:rsid w:val="2C5514C6"/>
    <w:rsid w:val="2C5B6D3D"/>
    <w:rsid w:val="2C5C2032"/>
    <w:rsid w:val="2C5E21B4"/>
    <w:rsid w:val="2C5F0C97"/>
    <w:rsid w:val="2C5F550C"/>
    <w:rsid w:val="2C677A44"/>
    <w:rsid w:val="2C6B4038"/>
    <w:rsid w:val="2C72088D"/>
    <w:rsid w:val="2C7720A9"/>
    <w:rsid w:val="2C7A3BB0"/>
    <w:rsid w:val="2C7A4688"/>
    <w:rsid w:val="2C7B3727"/>
    <w:rsid w:val="2C7D6665"/>
    <w:rsid w:val="2C7E0668"/>
    <w:rsid w:val="2C7E4570"/>
    <w:rsid w:val="2C865A05"/>
    <w:rsid w:val="2C8B0557"/>
    <w:rsid w:val="2C9A28D3"/>
    <w:rsid w:val="2CBC4209"/>
    <w:rsid w:val="2CC12D54"/>
    <w:rsid w:val="2CC9390C"/>
    <w:rsid w:val="2CC9742A"/>
    <w:rsid w:val="2CCB3003"/>
    <w:rsid w:val="2CD17849"/>
    <w:rsid w:val="2CD47078"/>
    <w:rsid w:val="2CDA4FDA"/>
    <w:rsid w:val="2CDC7091"/>
    <w:rsid w:val="2CE128DC"/>
    <w:rsid w:val="2CE16D71"/>
    <w:rsid w:val="2CE27F26"/>
    <w:rsid w:val="2CED6828"/>
    <w:rsid w:val="2CF4201A"/>
    <w:rsid w:val="2CF8269C"/>
    <w:rsid w:val="2CF945A4"/>
    <w:rsid w:val="2CFD5C64"/>
    <w:rsid w:val="2D0128E8"/>
    <w:rsid w:val="2D0450C7"/>
    <w:rsid w:val="2D0A65F3"/>
    <w:rsid w:val="2D0C5A2F"/>
    <w:rsid w:val="2D0E231B"/>
    <w:rsid w:val="2D145154"/>
    <w:rsid w:val="2D1A1A6B"/>
    <w:rsid w:val="2D1A4915"/>
    <w:rsid w:val="2D1C670F"/>
    <w:rsid w:val="2D210212"/>
    <w:rsid w:val="2D306B85"/>
    <w:rsid w:val="2D313196"/>
    <w:rsid w:val="2D323D75"/>
    <w:rsid w:val="2D3F06B2"/>
    <w:rsid w:val="2D400A9F"/>
    <w:rsid w:val="2D540857"/>
    <w:rsid w:val="2D590555"/>
    <w:rsid w:val="2D621C05"/>
    <w:rsid w:val="2D6A3C90"/>
    <w:rsid w:val="2D726428"/>
    <w:rsid w:val="2D770975"/>
    <w:rsid w:val="2D7A06F1"/>
    <w:rsid w:val="2D8151A4"/>
    <w:rsid w:val="2DA02E9C"/>
    <w:rsid w:val="2DAC4521"/>
    <w:rsid w:val="2DB77121"/>
    <w:rsid w:val="2DBB1852"/>
    <w:rsid w:val="2DBF0C3E"/>
    <w:rsid w:val="2DBF1601"/>
    <w:rsid w:val="2DBF44A4"/>
    <w:rsid w:val="2DBF4C3A"/>
    <w:rsid w:val="2DC3265B"/>
    <w:rsid w:val="2DC464AC"/>
    <w:rsid w:val="2DC74F1E"/>
    <w:rsid w:val="2DD06A7C"/>
    <w:rsid w:val="2DD06AF3"/>
    <w:rsid w:val="2DDD1D4C"/>
    <w:rsid w:val="2DE66249"/>
    <w:rsid w:val="2DEA21A7"/>
    <w:rsid w:val="2DF04CFF"/>
    <w:rsid w:val="2DF6091F"/>
    <w:rsid w:val="2DF77C3F"/>
    <w:rsid w:val="2DF80479"/>
    <w:rsid w:val="2DFA6574"/>
    <w:rsid w:val="2DFB6F69"/>
    <w:rsid w:val="2E001622"/>
    <w:rsid w:val="2E0062BD"/>
    <w:rsid w:val="2E023C26"/>
    <w:rsid w:val="2E040A80"/>
    <w:rsid w:val="2E095C19"/>
    <w:rsid w:val="2E0F3A78"/>
    <w:rsid w:val="2E1530A6"/>
    <w:rsid w:val="2E160B5E"/>
    <w:rsid w:val="2E1859B1"/>
    <w:rsid w:val="2E190FE7"/>
    <w:rsid w:val="2E195433"/>
    <w:rsid w:val="2E2630D7"/>
    <w:rsid w:val="2E275653"/>
    <w:rsid w:val="2E2806DD"/>
    <w:rsid w:val="2E2A4425"/>
    <w:rsid w:val="2E2F3046"/>
    <w:rsid w:val="2E302808"/>
    <w:rsid w:val="2E3A3030"/>
    <w:rsid w:val="2E3C084B"/>
    <w:rsid w:val="2E3F16E2"/>
    <w:rsid w:val="2E46069F"/>
    <w:rsid w:val="2E4B21B3"/>
    <w:rsid w:val="2E504076"/>
    <w:rsid w:val="2E553370"/>
    <w:rsid w:val="2E556C0A"/>
    <w:rsid w:val="2E5608F9"/>
    <w:rsid w:val="2E570E04"/>
    <w:rsid w:val="2E59206F"/>
    <w:rsid w:val="2E601EB6"/>
    <w:rsid w:val="2E6626EB"/>
    <w:rsid w:val="2E6703F9"/>
    <w:rsid w:val="2E6B29AA"/>
    <w:rsid w:val="2E6F4813"/>
    <w:rsid w:val="2E705752"/>
    <w:rsid w:val="2E736411"/>
    <w:rsid w:val="2E7622E7"/>
    <w:rsid w:val="2E791B9C"/>
    <w:rsid w:val="2E7A5E34"/>
    <w:rsid w:val="2E7B51F7"/>
    <w:rsid w:val="2E7B65BB"/>
    <w:rsid w:val="2E855C37"/>
    <w:rsid w:val="2E884911"/>
    <w:rsid w:val="2E8863A8"/>
    <w:rsid w:val="2E8B3A26"/>
    <w:rsid w:val="2E8C7BEE"/>
    <w:rsid w:val="2E8F09A4"/>
    <w:rsid w:val="2E914A07"/>
    <w:rsid w:val="2E993370"/>
    <w:rsid w:val="2E9A086A"/>
    <w:rsid w:val="2E9A69ED"/>
    <w:rsid w:val="2E9B22A9"/>
    <w:rsid w:val="2EA049A8"/>
    <w:rsid w:val="2EA26ABE"/>
    <w:rsid w:val="2EA72F10"/>
    <w:rsid w:val="2EA74B75"/>
    <w:rsid w:val="2EB61295"/>
    <w:rsid w:val="2EB941A6"/>
    <w:rsid w:val="2EC414ED"/>
    <w:rsid w:val="2EC71A13"/>
    <w:rsid w:val="2EC722DC"/>
    <w:rsid w:val="2EC9437A"/>
    <w:rsid w:val="2EDC714E"/>
    <w:rsid w:val="2EEA307E"/>
    <w:rsid w:val="2EEF6737"/>
    <w:rsid w:val="2EF276DC"/>
    <w:rsid w:val="2EF53C20"/>
    <w:rsid w:val="2EFC5DDD"/>
    <w:rsid w:val="2F002CCF"/>
    <w:rsid w:val="2F0160A3"/>
    <w:rsid w:val="2F18561C"/>
    <w:rsid w:val="2F1A491A"/>
    <w:rsid w:val="2F1C3DF5"/>
    <w:rsid w:val="2F284812"/>
    <w:rsid w:val="2F2960CC"/>
    <w:rsid w:val="2F2F3D52"/>
    <w:rsid w:val="2F3B7B8B"/>
    <w:rsid w:val="2F3D481A"/>
    <w:rsid w:val="2F407763"/>
    <w:rsid w:val="2F417C99"/>
    <w:rsid w:val="2F44254B"/>
    <w:rsid w:val="2F4530B9"/>
    <w:rsid w:val="2F4B7821"/>
    <w:rsid w:val="2F4D774F"/>
    <w:rsid w:val="2F526911"/>
    <w:rsid w:val="2F5741FD"/>
    <w:rsid w:val="2F57587A"/>
    <w:rsid w:val="2F59227E"/>
    <w:rsid w:val="2F5E1A24"/>
    <w:rsid w:val="2F615954"/>
    <w:rsid w:val="2F6324D7"/>
    <w:rsid w:val="2F712CF7"/>
    <w:rsid w:val="2F726B1A"/>
    <w:rsid w:val="2F727813"/>
    <w:rsid w:val="2F7B54EA"/>
    <w:rsid w:val="2F805714"/>
    <w:rsid w:val="2F811998"/>
    <w:rsid w:val="2F8640C4"/>
    <w:rsid w:val="2F8E5F5C"/>
    <w:rsid w:val="2F921FAC"/>
    <w:rsid w:val="2FA12C61"/>
    <w:rsid w:val="2FA21231"/>
    <w:rsid w:val="2FAD4759"/>
    <w:rsid w:val="2FAD5866"/>
    <w:rsid w:val="2FAE1EFC"/>
    <w:rsid w:val="2FB4059E"/>
    <w:rsid w:val="2FB46FC7"/>
    <w:rsid w:val="2FB53FD2"/>
    <w:rsid w:val="2FB91323"/>
    <w:rsid w:val="2FC6643E"/>
    <w:rsid w:val="2FCA0967"/>
    <w:rsid w:val="2FCE6A6F"/>
    <w:rsid w:val="2FD6133F"/>
    <w:rsid w:val="2FD7115C"/>
    <w:rsid w:val="2FD84674"/>
    <w:rsid w:val="2FDB17E1"/>
    <w:rsid w:val="2FDE51CA"/>
    <w:rsid w:val="2FE20568"/>
    <w:rsid w:val="2FE37171"/>
    <w:rsid w:val="2FE7659F"/>
    <w:rsid w:val="2FF117AD"/>
    <w:rsid w:val="2FF17999"/>
    <w:rsid w:val="2FF335AC"/>
    <w:rsid w:val="2FF40BAE"/>
    <w:rsid w:val="2FF62C31"/>
    <w:rsid w:val="2FF95633"/>
    <w:rsid w:val="2FFD391C"/>
    <w:rsid w:val="30010F70"/>
    <w:rsid w:val="300F7F13"/>
    <w:rsid w:val="30146B19"/>
    <w:rsid w:val="30151A88"/>
    <w:rsid w:val="301C0A49"/>
    <w:rsid w:val="301E3C00"/>
    <w:rsid w:val="302757BF"/>
    <w:rsid w:val="302E1CAD"/>
    <w:rsid w:val="302F0C7E"/>
    <w:rsid w:val="30354430"/>
    <w:rsid w:val="303B62EC"/>
    <w:rsid w:val="303F616B"/>
    <w:rsid w:val="3042736A"/>
    <w:rsid w:val="3045713F"/>
    <w:rsid w:val="30486EA7"/>
    <w:rsid w:val="30500A5C"/>
    <w:rsid w:val="305447A9"/>
    <w:rsid w:val="305F558E"/>
    <w:rsid w:val="306B4848"/>
    <w:rsid w:val="30752E77"/>
    <w:rsid w:val="308018A6"/>
    <w:rsid w:val="30804E19"/>
    <w:rsid w:val="3090288F"/>
    <w:rsid w:val="309B0CFB"/>
    <w:rsid w:val="309B2EEC"/>
    <w:rsid w:val="309E4272"/>
    <w:rsid w:val="30A75563"/>
    <w:rsid w:val="30AE56DC"/>
    <w:rsid w:val="30B7307E"/>
    <w:rsid w:val="30BB5407"/>
    <w:rsid w:val="30BF034E"/>
    <w:rsid w:val="30C21A0E"/>
    <w:rsid w:val="30C45386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0FE2DDD"/>
    <w:rsid w:val="310F0CAB"/>
    <w:rsid w:val="31154308"/>
    <w:rsid w:val="31197ABC"/>
    <w:rsid w:val="311D5B14"/>
    <w:rsid w:val="31243A63"/>
    <w:rsid w:val="312723F9"/>
    <w:rsid w:val="312D0545"/>
    <w:rsid w:val="312D1F98"/>
    <w:rsid w:val="3136546A"/>
    <w:rsid w:val="313A5584"/>
    <w:rsid w:val="313A7B85"/>
    <w:rsid w:val="313E22A6"/>
    <w:rsid w:val="31412F85"/>
    <w:rsid w:val="31454E97"/>
    <w:rsid w:val="314A019C"/>
    <w:rsid w:val="314E27D6"/>
    <w:rsid w:val="31514FC5"/>
    <w:rsid w:val="31584385"/>
    <w:rsid w:val="315D7DEC"/>
    <w:rsid w:val="31610A33"/>
    <w:rsid w:val="31624EDC"/>
    <w:rsid w:val="31647576"/>
    <w:rsid w:val="31665E5D"/>
    <w:rsid w:val="31672771"/>
    <w:rsid w:val="3169373B"/>
    <w:rsid w:val="316B0F75"/>
    <w:rsid w:val="316D6213"/>
    <w:rsid w:val="316D6950"/>
    <w:rsid w:val="316E417C"/>
    <w:rsid w:val="31712ADE"/>
    <w:rsid w:val="3171328C"/>
    <w:rsid w:val="317477EC"/>
    <w:rsid w:val="317A322A"/>
    <w:rsid w:val="317A7B84"/>
    <w:rsid w:val="31822EAF"/>
    <w:rsid w:val="31840D12"/>
    <w:rsid w:val="31846FF6"/>
    <w:rsid w:val="318854B9"/>
    <w:rsid w:val="319268E9"/>
    <w:rsid w:val="319377B4"/>
    <w:rsid w:val="319B3834"/>
    <w:rsid w:val="319D6381"/>
    <w:rsid w:val="31A53A0B"/>
    <w:rsid w:val="31A7307B"/>
    <w:rsid w:val="31A94576"/>
    <w:rsid w:val="31AC04E5"/>
    <w:rsid w:val="31AC2EA3"/>
    <w:rsid w:val="31B23BA8"/>
    <w:rsid w:val="31BB1182"/>
    <w:rsid w:val="31C363A1"/>
    <w:rsid w:val="31CA5CF8"/>
    <w:rsid w:val="31CB26CD"/>
    <w:rsid w:val="31CF2CD1"/>
    <w:rsid w:val="31D06A52"/>
    <w:rsid w:val="31D216CC"/>
    <w:rsid w:val="31E302B9"/>
    <w:rsid w:val="31E83A8A"/>
    <w:rsid w:val="31F20023"/>
    <w:rsid w:val="31F31FF7"/>
    <w:rsid w:val="31F52FE4"/>
    <w:rsid w:val="31F536F7"/>
    <w:rsid w:val="31FA7AEE"/>
    <w:rsid w:val="31FB60C5"/>
    <w:rsid w:val="32016F71"/>
    <w:rsid w:val="32021A78"/>
    <w:rsid w:val="3209100C"/>
    <w:rsid w:val="321E250B"/>
    <w:rsid w:val="32226597"/>
    <w:rsid w:val="322A5516"/>
    <w:rsid w:val="322B6C88"/>
    <w:rsid w:val="322C6DC4"/>
    <w:rsid w:val="3238698E"/>
    <w:rsid w:val="323E5B9E"/>
    <w:rsid w:val="324968A9"/>
    <w:rsid w:val="324C11A1"/>
    <w:rsid w:val="324F1DD8"/>
    <w:rsid w:val="32515BC8"/>
    <w:rsid w:val="32530F81"/>
    <w:rsid w:val="32544043"/>
    <w:rsid w:val="32560524"/>
    <w:rsid w:val="325614E5"/>
    <w:rsid w:val="32576A33"/>
    <w:rsid w:val="3259293C"/>
    <w:rsid w:val="325E5514"/>
    <w:rsid w:val="32637AAD"/>
    <w:rsid w:val="32651EE8"/>
    <w:rsid w:val="32666821"/>
    <w:rsid w:val="326718A4"/>
    <w:rsid w:val="32694229"/>
    <w:rsid w:val="326A18B1"/>
    <w:rsid w:val="326A4050"/>
    <w:rsid w:val="326B7BBB"/>
    <w:rsid w:val="32700519"/>
    <w:rsid w:val="3272101B"/>
    <w:rsid w:val="32722131"/>
    <w:rsid w:val="327A3DD6"/>
    <w:rsid w:val="327E6AD8"/>
    <w:rsid w:val="328301EA"/>
    <w:rsid w:val="32864FED"/>
    <w:rsid w:val="32926F1E"/>
    <w:rsid w:val="32946A84"/>
    <w:rsid w:val="329747D6"/>
    <w:rsid w:val="329B3044"/>
    <w:rsid w:val="32A570E5"/>
    <w:rsid w:val="32AC6196"/>
    <w:rsid w:val="32AF5A06"/>
    <w:rsid w:val="32B22C9D"/>
    <w:rsid w:val="32BA631C"/>
    <w:rsid w:val="32BC6631"/>
    <w:rsid w:val="32C05B65"/>
    <w:rsid w:val="32C6418D"/>
    <w:rsid w:val="32CF3588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066D7"/>
    <w:rsid w:val="330244A4"/>
    <w:rsid w:val="3304026E"/>
    <w:rsid w:val="33066388"/>
    <w:rsid w:val="330F1E44"/>
    <w:rsid w:val="331747E7"/>
    <w:rsid w:val="331B37C6"/>
    <w:rsid w:val="331C390F"/>
    <w:rsid w:val="331E5DBA"/>
    <w:rsid w:val="33222F7E"/>
    <w:rsid w:val="33252813"/>
    <w:rsid w:val="33362AD0"/>
    <w:rsid w:val="333A0536"/>
    <w:rsid w:val="333E0FE1"/>
    <w:rsid w:val="333F4C47"/>
    <w:rsid w:val="333F6941"/>
    <w:rsid w:val="33444CAD"/>
    <w:rsid w:val="334D7767"/>
    <w:rsid w:val="33546645"/>
    <w:rsid w:val="33610DDA"/>
    <w:rsid w:val="3362171F"/>
    <w:rsid w:val="3366319E"/>
    <w:rsid w:val="336A11D9"/>
    <w:rsid w:val="336C2B69"/>
    <w:rsid w:val="336D2A73"/>
    <w:rsid w:val="336F5120"/>
    <w:rsid w:val="337009B5"/>
    <w:rsid w:val="337333AD"/>
    <w:rsid w:val="33767D1F"/>
    <w:rsid w:val="337E361F"/>
    <w:rsid w:val="337F446B"/>
    <w:rsid w:val="338D4CD1"/>
    <w:rsid w:val="338E29B0"/>
    <w:rsid w:val="338F74B8"/>
    <w:rsid w:val="3390342D"/>
    <w:rsid w:val="33907648"/>
    <w:rsid w:val="33924A39"/>
    <w:rsid w:val="3397281E"/>
    <w:rsid w:val="339902E6"/>
    <w:rsid w:val="339D35FC"/>
    <w:rsid w:val="33A156DE"/>
    <w:rsid w:val="33A42C7A"/>
    <w:rsid w:val="33B52233"/>
    <w:rsid w:val="33B70359"/>
    <w:rsid w:val="33BA1B32"/>
    <w:rsid w:val="33BE01F6"/>
    <w:rsid w:val="33BF7141"/>
    <w:rsid w:val="33CB205A"/>
    <w:rsid w:val="33D31CFB"/>
    <w:rsid w:val="33D451B9"/>
    <w:rsid w:val="33E20DF0"/>
    <w:rsid w:val="33E570DD"/>
    <w:rsid w:val="33EA5517"/>
    <w:rsid w:val="33EE5E44"/>
    <w:rsid w:val="33F509C2"/>
    <w:rsid w:val="33F81D16"/>
    <w:rsid w:val="33FA2099"/>
    <w:rsid w:val="33FC464A"/>
    <w:rsid w:val="33FE4E44"/>
    <w:rsid w:val="34004C51"/>
    <w:rsid w:val="34026A40"/>
    <w:rsid w:val="34041CE3"/>
    <w:rsid w:val="34087429"/>
    <w:rsid w:val="340B5F03"/>
    <w:rsid w:val="3411600B"/>
    <w:rsid w:val="341315B5"/>
    <w:rsid w:val="34147AA7"/>
    <w:rsid w:val="34151CC9"/>
    <w:rsid w:val="3417174F"/>
    <w:rsid w:val="341808C3"/>
    <w:rsid w:val="34182B66"/>
    <w:rsid w:val="34191C89"/>
    <w:rsid w:val="341E635E"/>
    <w:rsid w:val="34260D3D"/>
    <w:rsid w:val="342D3CE2"/>
    <w:rsid w:val="34333AFC"/>
    <w:rsid w:val="34343D6C"/>
    <w:rsid w:val="34347DC5"/>
    <w:rsid w:val="34380493"/>
    <w:rsid w:val="34463967"/>
    <w:rsid w:val="344C08D2"/>
    <w:rsid w:val="345543D1"/>
    <w:rsid w:val="34564E8B"/>
    <w:rsid w:val="345A1F55"/>
    <w:rsid w:val="345A7367"/>
    <w:rsid w:val="345D2CD0"/>
    <w:rsid w:val="346C0AEA"/>
    <w:rsid w:val="3473748E"/>
    <w:rsid w:val="3474594A"/>
    <w:rsid w:val="347F540F"/>
    <w:rsid w:val="34863322"/>
    <w:rsid w:val="34885DB3"/>
    <w:rsid w:val="348D003D"/>
    <w:rsid w:val="348F0ED3"/>
    <w:rsid w:val="348F7A0E"/>
    <w:rsid w:val="34975090"/>
    <w:rsid w:val="349A0B7D"/>
    <w:rsid w:val="34A851E8"/>
    <w:rsid w:val="34A92857"/>
    <w:rsid w:val="34A94ADA"/>
    <w:rsid w:val="34A97BFE"/>
    <w:rsid w:val="34B51A96"/>
    <w:rsid w:val="34BF1CD4"/>
    <w:rsid w:val="34C56285"/>
    <w:rsid w:val="34C800BD"/>
    <w:rsid w:val="34C936CD"/>
    <w:rsid w:val="34CC1DC7"/>
    <w:rsid w:val="34CD15EB"/>
    <w:rsid w:val="34D06958"/>
    <w:rsid w:val="34D47C8A"/>
    <w:rsid w:val="34D874E5"/>
    <w:rsid w:val="34DB0CAC"/>
    <w:rsid w:val="34DD3DF9"/>
    <w:rsid w:val="34E972FC"/>
    <w:rsid w:val="34F83EF3"/>
    <w:rsid w:val="34F90010"/>
    <w:rsid w:val="34F953E0"/>
    <w:rsid w:val="34FB3AF7"/>
    <w:rsid w:val="34FF2166"/>
    <w:rsid w:val="3503286C"/>
    <w:rsid w:val="350A773D"/>
    <w:rsid w:val="350B69C5"/>
    <w:rsid w:val="350D514D"/>
    <w:rsid w:val="350F2D16"/>
    <w:rsid w:val="351C075B"/>
    <w:rsid w:val="351E33A2"/>
    <w:rsid w:val="35200E70"/>
    <w:rsid w:val="352147D7"/>
    <w:rsid w:val="35233F18"/>
    <w:rsid w:val="352349AE"/>
    <w:rsid w:val="3524348B"/>
    <w:rsid w:val="35295D65"/>
    <w:rsid w:val="352B5169"/>
    <w:rsid w:val="353230EA"/>
    <w:rsid w:val="35333FF2"/>
    <w:rsid w:val="353834AB"/>
    <w:rsid w:val="3539596F"/>
    <w:rsid w:val="353C4905"/>
    <w:rsid w:val="353C75ED"/>
    <w:rsid w:val="353E791E"/>
    <w:rsid w:val="354008AB"/>
    <w:rsid w:val="354966A2"/>
    <w:rsid w:val="354C7B38"/>
    <w:rsid w:val="354F28B8"/>
    <w:rsid w:val="35502300"/>
    <w:rsid w:val="35535CBB"/>
    <w:rsid w:val="355578D9"/>
    <w:rsid w:val="35562F9E"/>
    <w:rsid w:val="35581BA8"/>
    <w:rsid w:val="355B280E"/>
    <w:rsid w:val="355B3BD4"/>
    <w:rsid w:val="355B61CB"/>
    <w:rsid w:val="355D687A"/>
    <w:rsid w:val="356161F3"/>
    <w:rsid w:val="356849C3"/>
    <w:rsid w:val="35691707"/>
    <w:rsid w:val="356A4D65"/>
    <w:rsid w:val="35744059"/>
    <w:rsid w:val="35771AC2"/>
    <w:rsid w:val="357960B4"/>
    <w:rsid w:val="35796C07"/>
    <w:rsid w:val="358323BB"/>
    <w:rsid w:val="358618B0"/>
    <w:rsid w:val="3589285D"/>
    <w:rsid w:val="35967E5E"/>
    <w:rsid w:val="3598497A"/>
    <w:rsid w:val="359C1F6C"/>
    <w:rsid w:val="35A02A2E"/>
    <w:rsid w:val="35A0338E"/>
    <w:rsid w:val="35A16611"/>
    <w:rsid w:val="35A31A0A"/>
    <w:rsid w:val="35A57D9C"/>
    <w:rsid w:val="35A974EC"/>
    <w:rsid w:val="35AB5D7D"/>
    <w:rsid w:val="35B31B82"/>
    <w:rsid w:val="35B77D24"/>
    <w:rsid w:val="35C154C0"/>
    <w:rsid w:val="35C7584B"/>
    <w:rsid w:val="35D2581D"/>
    <w:rsid w:val="35D31DE1"/>
    <w:rsid w:val="35D361F7"/>
    <w:rsid w:val="35D801CA"/>
    <w:rsid w:val="35DD2AEE"/>
    <w:rsid w:val="35E425DA"/>
    <w:rsid w:val="35E46823"/>
    <w:rsid w:val="35EA6509"/>
    <w:rsid w:val="35ED04DC"/>
    <w:rsid w:val="35F44E5C"/>
    <w:rsid w:val="35F45994"/>
    <w:rsid w:val="35F8217F"/>
    <w:rsid w:val="3602050E"/>
    <w:rsid w:val="36077B5A"/>
    <w:rsid w:val="36101A49"/>
    <w:rsid w:val="36163688"/>
    <w:rsid w:val="361A2F27"/>
    <w:rsid w:val="3624711B"/>
    <w:rsid w:val="36265F04"/>
    <w:rsid w:val="36266913"/>
    <w:rsid w:val="362952D6"/>
    <w:rsid w:val="36297754"/>
    <w:rsid w:val="362E3970"/>
    <w:rsid w:val="362F3A87"/>
    <w:rsid w:val="363210F7"/>
    <w:rsid w:val="363F4D43"/>
    <w:rsid w:val="3640112F"/>
    <w:rsid w:val="36407BF2"/>
    <w:rsid w:val="36486576"/>
    <w:rsid w:val="364A08D8"/>
    <w:rsid w:val="364B2312"/>
    <w:rsid w:val="364F7BB1"/>
    <w:rsid w:val="365955CF"/>
    <w:rsid w:val="365F765A"/>
    <w:rsid w:val="36627C0A"/>
    <w:rsid w:val="36642D30"/>
    <w:rsid w:val="36693B36"/>
    <w:rsid w:val="366B0AAA"/>
    <w:rsid w:val="366B6257"/>
    <w:rsid w:val="366D49A8"/>
    <w:rsid w:val="36701C31"/>
    <w:rsid w:val="36720A4C"/>
    <w:rsid w:val="36752210"/>
    <w:rsid w:val="3681695C"/>
    <w:rsid w:val="36820E97"/>
    <w:rsid w:val="36884498"/>
    <w:rsid w:val="36922B55"/>
    <w:rsid w:val="36991125"/>
    <w:rsid w:val="369C60C5"/>
    <w:rsid w:val="369E44B4"/>
    <w:rsid w:val="36A312B2"/>
    <w:rsid w:val="36A35C4C"/>
    <w:rsid w:val="36A5021A"/>
    <w:rsid w:val="36A9265A"/>
    <w:rsid w:val="36A9393B"/>
    <w:rsid w:val="36AA239C"/>
    <w:rsid w:val="36B121C7"/>
    <w:rsid w:val="36B2486C"/>
    <w:rsid w:val="36B307B1"/>
    <w:rsid w:val="36BA14F4"/>
    <w:rsid w:val="36C45C2A"/>
    <w:rsid w:val="36CB04A2"/>
    <w:rsid w:val="36CD7CBA"/>
    <w:rsid w:val="36D009E5"/>
    <w:rsid w:val="36D27C18"/>
    <w:rsid w:val="36D512A9"/>
    <w:rsid w:val="36D85209"/>
    <w:rsid w:val="36D934D3"/>
    <w:rsid w:val="36D94280"/>
    <w:rsid w:val="36DA1950"/>
    <w:rsid w:val="36DE2053"/>
    <w:rsid w:val="36E07ED3"/>
    <w:rsid w:val="36E222AF"/>
    <w:rsid w:val="36F03F0E"/>
    <w:rsid w:val="36F414F3"/>
    <w:rsid w:val="36F902E0"/>
    <w:rsid w:val="37002C93"/>
    <w:rsid w:val="37021B28"/>
    <w:rsid w:val="37086DBC"/>
    <w:rsid w:val="370974B4"/>
    <w:rsid w:val="370D0F30"/>
    <w:rsid w:val="37126487"/>
    <w:rsid w:val="371A5A8E"/>
    <w:rsid w:val="371B03AE"/>
    <w:rsid w:val="371E6151"/>
    <w:rsid w:val="37200042"/>
    <w:rsid w:val="37271A7B"/>
    <w:rsid w:val="37277663"/>
    <w:rsid w:val="372A07F2"/>
    <w:rsid w:val="37342518"/>
    <w:rsid w:val="37357964"/>
    <w:rsid w:val="373757CA"/>
    <w:rsid w:val="373B5161"/>
    <w:rsid w:val="373D6F58"/>
    <w:rsid w:val="37446333"/>
    <w:rsid w:val="37446A77"/>
    <w:rsid w:val="374D0B20"/>
    <w:rsid w:val="37557969"/>
    <w:rsid w:val="375D402E"/>
    <w:rsid w:val="375D4473"/>
    <w:rsid w:val="37615F3C"/>
    <w:rsid w:val="37663E25"/>
    <w:rsid w:val="376B106B"/>
    <w:rsid w:val="377963D6"/>
    <w:rsid w:val="377A5D14"/>
    <w:rsid w:val="378075A4"/>
    <w:rsid w:val="3783595B"/>
    <w:rsid w:val="37840F0B"/>
    <w:rsid w:val="378772DD"/>
    <w:rsid w:val="378917C1"/>
    <w:rsid w:val="378A731A"/>
    <w:rsid w:val="378E3617"/>
    <w:rsid w:val="37931A90"/>
    <w:rsid w:val="379A0451"/>
    <w:rsid w:val="37A4082B"/>
    <w:rsid w:val="37A4627C"/>
    <w:rsid w:val="37A530D5"/>
    <w:rsid w:val="37A643C8"/>
    <w:rsid w:val="37AE534B"/>
    <w:rsid w:val="37AF0370"/>
    <w:rsid w:val="37B1214B"/>
    <w:rsid w:val="37B336FE"/>
    <w:rsid w:val="37B5292C"/>
    <w:rsid w:val="37BA6351"/>
    <w:rsid w:val="37C0226A"/>
    <w:rsid w:val="37C265EA"/>
    <w:rsid w:val="37C93B72"/>
    <w:rsid w:val="37CC231E"/>
    <w:rsid w:val="37CC50A4"/>
    <w:rsid w:val="37D644F2"/>
    <w:rsid w:val="37E22653"/>
    <w:rsid w:val="37ED5E3A"/>
    <w:rsid w:val="37EF1B98"/>
    <w:rsid w:val="37F311D3"/>
    <w:rsid w:val="37F7242F"/>
    <w:rsid w:val="37FD1EC6"/>
    <w:rsid w:val="380579FE"/>
    <w:rsid w:val="380A2EB4"/>
    <w:rsid w:val="38157509"/>
    <w:rsid w:val="38194CC2"/>
    <w:rsid w:val="381D5340"/>
    <w:rsid w:val="382150C9"/>
    <w:rsid w:val="38224D22"/>
    <w:rsid w:val="382372FE"/>
    <w:rsid w:val="38284CDE"/>
    <w:rsid w:val="38290CA5"/>
    <w:rsid w:val="382D297A"/>
    <w:rsid w:val="382F19E6"/>
    <w:rsid w:val="38336594"/>
    <w:rsid w:val="383B2EED"/>
    <w:rsid w:val="38463F5F"/>
    <w:rsid w:val="384C2D57"/>
    <w:rsid w:val="38507973"/>
    <w:rsid w:val="38557E21"/>
    <w:rsid w:val="3856501D"/>
    <w:rsid w:val="38590DD6"/>
    <w:rsid w:val="385F47DB"/>
    <w:rsid w:val="386777DB"/>
    <w:rsid w:val="38693A96"/>
    <w:rsid w:val="386A1921"/>
    <w:rsid w:val="386B38FB"/>
    <w:rsid w:val="38747711"/>
    <w:rsid w:val="38775820"/>
    <w:rsid w:val="387F0A30"/>
    <w:rsid w:val="38822AC1"/>
    <w:rsid w:val="388574CD"/>
    <w:rsid w:val="38876F05"/>
    <w:rsid w:val="38894DA5"/>
    <w:rsid w:val="389121D9"/>
    <w:rsid w:val="38913DAB"/>
    <w:rsid w:val="38962777"/>
    <w:rsid w:val="38972A67"/>
    <w:rsid w:val="38981AB5"/>
    <w:rsid w:val="38A30506"/>
    <w:rsid w:val="38A40C18"/>
    <w:rsid w:val="38A433DE"/>
    <w:rsid w:val="38A61C5A"/>
    <w:rsid w:val="38AB306B"/>
    <w:rsid w:val="38AC4968"/>
    <w:rsid w:val="38B9506E"/>
    <w:rsid w:val="38BE3112"/>
    <w:rsid w:val="38BF0FE7"/>
    <w:rsid w:val="38BF2270"/>
    <w:rsid w:val="38C0788B"/>
    <w:rsid w:val="38C2676F"/>
    <w:rsid w:val="38C33701"/>
    <w:rsid w:val="38C36346"/>
    <w:rsid w:val="38C43916"/>
    <w:rsid w:val="38C56458"/>
    <w:rsid w:val="38C84FBF"/>
    <w:rsid w:val="38D05F26"/>
    <w:rsid w:val="38D124F5"/>
    <w:rsid w:val="38D504F4"/>
    <w:rsid w:val="38D828C2"/>
    <w:rsid w:val="38D95A84"/>
    <w:rsid w:val="38E11AA1"/>
    <w:rsid w:val="38E45926"/>
    <w:rsid w:val="38E46191"/>
    <w:rsid w:val="38E95E5D"/>
    <w:rsid w:val="38EB7945"/>
    <w:rsid w:val="38EC260C"/>
    <w:rsid w:val="38EF0DB7"/>
    <w:rsid w:val="38F50C85"/>
    <w:rsid w:val="390417CF"/>
    <w:rsid w:val="39065A02"/>
    <w:rsid w:val="39105718"/>
    <w:rsid w:val="39147611"/>
    <w:rsid w:val="392B6A4C"/>
    <w:rsid w:val="393232FB"/>
    <w:rsid w:val="393544DD"/>
    <w:rsid w:val="393962EC"/>
    <w:rsid w:val="393F6CD7"/>
    <w:rsid w:val="39457868"/>
    <w:rsid w:val="394620D9"/>
    <w:rsid w:val="39462EDC"/>
    <w:rsid w:val="394935B8"/>
    <w:rsid w:val="394C557A"/>
    <w:rsid w:val="39500691"/>
    <w:rsid w:val="3952190F"/>
    <w:rsid w:val="39541117"/>
    <w:rsid w:val="395753F2"/>
    <w:rsid w:val="395771BA"/>
    <w:rsid w:val="395811AF"/>
    <w:rsid w:val="395D360D"/>
    <w:rsid w:val="39676A41"/>
    <w:rsid w:val="39686D44"/>
    <w:rsid w:val="39695DEF"/>
    <w:rsid w:val="3973175F"/>
    <w:rsid w:val="39762B94"/>
    <w:rsid w:val="397E700C"/>
    <w:rsid w:val="39834074"/>
    <w:rsid w:val="39885108"/>
    <w:rsid w:val="398A2308"/>
    <w:rsid w:val="39907940"/>
    <w:rsid w:val="399602F5"/>
    <w:rsid w:val="399B5B0D"/>
    <w:rsid w:val="39A05979"/>
    <w:rsid w:val="39A90F14"/>
    <w:rsid w:val="39AB5689"/>
    <w:rsid w:val="39B747A8"/>
    <w:rsid w:val="39BB78F7"/>
    <w:rsid w:val="39BC428E"/>
    <w:rsid w:val="39BF2BB7"/>
    <w:rsid w:val="39C46549"/>
    <w:rsid w:val="39CA1A60"/>
    <w:rsid w:val="39D3749A"/>
    <w:rsid w:val="39D5434E"/>
    <w:rsid w:val="39D7557D"/>
    <w:rsid w:val="39DA738E"/>
    <w:rsid w:val="39DC3D4A"/>
    <w:rsid w:val="39DD49C2"/>
    <w:rsid w:val="39DD4ACE"/>
    <w:rsid w:val="39E02BA8"/>
    <w:rsid w:val="39E70CEA"/>
    <w:rsid w:val="39E9070B"/>
    <w:rsid w:val="39EC7454"/>
    <w:rsid w:val="39F07D03"/>
    <w:rsid w:val="39FD2FB3"/>
    <w:rsid w:val="3A026596"/>
    <w:rsid w:val="3A082ABE"/>
    <w:rsid w:val="3A0A6393"/>
    <w:rsid w:val="3A0E18F6"/>
    <w:rsid w:val="3A0E766B"/>
    <w:rsid w:val="3A13075A"/>
    <w:rsid w:val="3A181AC2"/>
    <w:rsid w:val="3A1A155D"/>
    <w:rsid w:val="3A1A5D0A"/>
    <w:rsid w:val="3A237175"/>
    <w:rsid w:val="3A264A9F"/>
    <w:rsid w:val="3A2B2AA6"/>
    <w:rsid w:val="3A2E67B0"/>
    <w:rsid w:val="3A3D5DAF"/>
    <w:rsid w:val="3A443D4B"/>
    <w:rsid w:val="3A4C7B97"/>
    <w:rsid w:val="3A543180"/>
    <w:rsid w:val="3A616CAD"/>
    <w:rsid w:val="3A711C68"/>
    <w:rsid w:val="3A7927E8"/>
    <w:rsid w:val="3A796E46"/>
    <w:rsid w:val="3A7C159F"/>
    <w:rsid w:val="3A7C2CDA"/>
    <w:rsid w:val="3A81194F"/>
    <w:rsid w:val="3A8B3C77"/>
    <w:rsid w:val="3A907B14"/>
    <w:rsid w:val="3A916A1A"/>
    <w:rsid w:val="3A971F5B"/>
    <w:rsid w:val="3A9A224E"/>
    <w:rsid w:val="3A9C1F8C"/>
    <w:rsid w:val="3A9D2551"/>
    <w:rsid w:val="3AA05C74"/>
    <w:rsid w:val="3AA15A8E"/>
    <w:rsid w:val="3AA607A4"/>
    <w:rsid w:val="3AA90278"/>
    <w:rsid w:val="3AA97F70"/>
    <w:rsid w:val="3AAC45FD"/>
    <w:rsid w:val="3AB2580E"/>
    <w:rsid w:val="3AB26A14"/>
    <w:rsid w:val="3AB94248"/>
    <w:rsid w:val="3ABE6A92"/>
    <w:rsid w:val="3ABE76C3"/>
    <w:rsid w:val="3ABE7ADC"/>
    <w:rsid w:val="3ABF42F5"/>
    <w:rsid w:val="3ACE18D2"/>
    <w:rsid w:val="3ACE7D16"/>
    <w:rsid w:val="3AD56DB6"/>
    <w:rsid w:val="3AD73D23"/>
    <w:rsid w:val="3AEE596A"/>
    <w:rsid w:val="3AF05C24"/>
    <w:rsid w:val="3AF47143"/>
    <w:rsid w:val="3AF90FF9"/>
    <w:rsid w:val="3AF932C9"/>
    <w:rsid w:val="3AFD37D0"/>
    <w:rsid w:val="3B016EE9"/>
    <w:rsid w:val="3B075C4E"/>
    <w:rsid w:val="3B081410"/>
    <w:rsid w:val="3B0C7A7D"/>
    <w:rsid w:val="3B0D67FF"/>
    <w:rsid w:val="3B0E6B93"/>
    <w:rsid w:val="3B0F2219"/>
    <w:rsid w:val="3B104B53"/>
    <w:rsid w:val="3B130528"/>
    <w:rsid w:val="3B1703B9"/>
    <w:rsid w:val="3B1860E7"/>
    <w:rsid w:val="3B1B0093"/>
    <w:rsid w:val="3B1D6A80"/>
    <w:rsid w:val="3B225CA4"/>
    <w:rsid w:val="3B2356A8"/>
    <w:rsid w:val="3B2806D1"/>
    <w:rsid w:val="3B2908B6"/>
    <w:rsid w:val="3B2D161A"/>
    <w:rsid w:val="3B2F1534"/>
    <w:rsid w:val="3B3A132E"/>
    <w:rsid w:val="3B456D7F"/>
    <w:rsid w:val="3B517555"/>
    <w:rsid w:val="3B553600"/>
    <w:rsid w:val="3B563186"/>
    <w:rsid w:val="3B5E261D"/>
    <w:rsid w:val="3B5F14B4"/>
    <w:rsid w:val="3B616FBE"/>
    <w:rsid w:val="3B683A4D"/>
    <w:rsid w:val="3B6A3CF4"/>
    <w:rsid w:val="3B6D5AE8"/>
    <w:rsid w:val="3B6F5B73"/>
    <w:rsid w:val="3B70725E"/>
    <w:rsid w:val="3B7236B3"/>
    <w:rsid w:val="3B753F43"/>
    <w:rsid w:val="3B7B1D0B"/>
    <w:rsid w:val="3B7B3C57"/>
    <w:rsid w:val="3B850B78"/>
    <w:rsid w:val="3B86470F"/>
    <w:rsid w:val="3B873119"/>
    <w:rsid w:val="3B91439F"/>
    <w:rsid w:val="3B9A4A30"/>
    <w:rsid w:val="3B9C2663"/>
    <w:rsid w:val="3B9C285E"/>
    <w:rsid w:val="3BA17E84"/>
    <w:rsid w:val="3BA35FC1"/>
    <w:rsid w:val="3BA566FD"/>
    <w:rsid w:val="3BA7008A"/>
    <w:rsid w:val="3BAF052C"/>
    <w:rsid w:val="3BB40DC9"/>
    <w:rsid w:val="3BB47D9F"/>
    <w:rsid w:val="3BB8361B"/>
    <w:rsid w:val="3BBE5671"/>
    <w:rsid w:val="3BD039A1"/>
    <w:rsid w:val="3BD16A31"/>
    <w:rsid w:val="3BD40BDF"/>
    <w:rsid w:val="3BD74E98"/>
    <w:rsid w:val="3BDB4BB2"/>
    <w:rsid w:val="3BDE5F43"/>
    <w:rsid w:val="3BE253C4"/>
    <w:rsid w:val="3BE6675A"/>
    <w:rsid w:val="3BE745F7"/>
    <w:rsid w:val="3BF10AAD"/>
    <w:rsid w:val="3BF13FB8"/>
    <w:rsid w:val="3BF22C4A"/>
    <w:rsid w:val="3BFA10FC"/>
    <w:rsid w:val="3C032713"/>
    <w:rsid w:val="3C042946"/>
    <w:rsid w:val="3C070D59"/>
    <w:rsid w:val="3C071F68"/>
    <w:rsid w:val="3C074961"/>
    <w:rsid w:val="3C0B363B"/>
    <w:rsid w:val="3C0B6499"/>
    <w:rsid w:val="3C0E09BE"/>
    <w:rsid w:val="3C0F1954"/>
    <w:rsid w:val="3C0F347A"/>
    <w:rsid w:val="3C104621"/>
    <w:rsid w:val="3C1071B6"/>
    <w:rsid w:val="3C1B14F3"/>
    <w:rsid w:val="3C1E1E84"/>
    <w:rsid w:val="3C1E391D"/>
    <w:rsid w:val="3C21000D"/>
    <w:rsid w:val="3C237821"/>
    <w:rsid w:val="3C265F23"/>
    <w:rsid w:val="3C294498"/>
    <w:rsid w:val="3C2A1C6F"/>
    <w:rsid w:val="3C2D5003"/>
    <w:rsid w:val="3C333216"/>
    <w:rsid w:val="3C36018F"/>
    <w:rsid w:val="3C3A7F01"/>
    <w:rsid w:val="3C3B0B4B"/>
    <w:rsid w:val="3C3D016E"/>
    <w:rsid w:val="3C4864AA"/>
    <w:rsid w:val="3C49796D"/>
    <w:rsid w:val="3C4F7D80"/>
    <w:rsid w:val="3C5475AD"/>
    <w:rsid w:val="3C591787"/>
    <w:rsid w:val="3C64689F"/>
    <w:rsid w:val="3C6E7D4D"/>
    <w:rsid w:val="3C740DAA"/>
    <w:rsid w:val="3C750E34"/>
    <w:rsid w:val="3C7A7CE8"/>
    <w:rsid w:val="3C7B1342"/>
    <w:rsid w:val="3C7E65EC"/>
    <w:rsid w:val="3C812838"/>
    <w:rsid w:val="3C826AA5"/>
    <w:rsid w:val="3C8555A2"/>
    <w:rsid w:val="3C867450"/>
    <w:rsid w:val="3C915B7E"/>
    <w:rsid w:val="3C971009"/>
    <w:rsid w:val="3C9D34AC"/>
    <w:rsid w:val="3C9E64A0"/>
    <w:rsid w:val="3CA159BD"/>
    <w:rsid w:val="3CA41337"/>
    <w:rsid w:val="3CA95FB0"/>
    <w:rsid w:val="3CAA38C3"/>
    <w:rsid w:val="3CAA5481"/>
    <w:rsid w:val="3CAC1109"/>
    <w:rsid w:val="3CB338D6"/>
    <w:rsid w:val="3CB36CF4"/>
    <w:rsid w:val="3CB61240"/>
    <w:rsid w:val="3CBA78F5"/>
    <w:rsid w:val="3CBD5A0F"/>
    <w:rsid w:val="3CBF5299"/>
    <w:rsid w:val="3CBF7818"/>
    <w:rsid w:val="3CC24098"/>
    <w:rsid w:val="3CC26B63"/>
    <w:rsid w:val="3CC42B41"/>
    <w:rsid w:val="3CC71C25"/>
    <w:rsid w:val="3CCC4D4D"/>
    <w:rsid w:val="3CCD7DE2"/>
    <w:rsid w:val="3CCE0448"/>
    <w:rsid w:val="3CD71E34"/>
    <w:rsid w:val="3CD93A3D"/>
    <w:rsid w:val="3CDB5D82"/>
    <w:rsid w:val="3CDE394C"/>
    <w:rsid w:val="3CE54B9F"/>
    <w:rsid w:val="3CE86761"/>
    <w:rsid w:val="3CEC51B9"/>
    <w:rsid w:val="3CF619DB"/>
    <w:rsid w:val="3CF86E9C"/>
    <w:rsid w:val="3CF87328"/>
    <w:rsid w:val="3CFD37E7"/>
    <w:rsid w:val="3CFE44BF"/>
    <w:rsid w:val="3D01412D"/>
    <w:rsid w:val="3D035272"/>
    <w:rsid w:val="3D0B7E6F"/>
    <w:rsid w:val="3D0F1231"/>
    <w:rsid w:val="3D130342"/>
    <w:rsid w:val="3D163A6F"/>
    <w:rsid w:val="3D184661"/>
    <w:rsid w:val="3D190944"/>
    <w:rsid w:val="3D1A758B"/>
    <w:rsid w:val="3D200D7C"/>
    <w:rsid w:val="3D233D0C"/>
    <w:rsid w:val="3D272F24"/>
    <w:rsid w:val="3D2A76C4"/>
    <w:rsid w:val="3D2C61BC"/>
    <w:rsid w:val="3D2F4437"/>
    <w:rsid w:val="3D3662C4"/>
    <w:rsid w:val="3D47670E"/>
    <w:rsid w:val="3D4A3942"/>
    <w:rsid w:val="3D4D7CF8"/>
    <w:rsid w:val="3D58163A"/>
    <w:rsid w:val="3D5A05E2"/>
    <w:rsid w:val="3D5C63D4"/>
    <w:rsid w:val="3D5E50E6"/>
    <w:rsid w:val="3D5F6029"/>
    <w:rsid w:val="3D611CC7"/>
    <w:rsid w:val="3D6223C0"/>
    <w:rsid w:val="3D641D7A"/>
    <w:rsid w:val="3D7335E1"/>
    <w:rsid w:val="3D7618FA"/>
    <w:rsid w:val="3D766E42"/>
    <w:rsid w:val="3D791797"/>
    <w:rsid w:val="3D807BCD"/>
    <w:rsid w:val="3D82057E"/>
    <w:rsid w:val="3D832B00"/>
    <w:rsid w:val="3D8522AA"/>
    <w:rsid w:val="3D8A0C19"/>
    <w:rsid w:val="3D917A42"/>
    <w:rsid w:val="3D9816B4"/>
    <w:rsid w:val="3D990197"/>
    <w:rsid w:val="3D9A0655"/>
    <w:rsid w:val="3D9D4DFB"/>
    <w:rsid w:val="3DA22306"/>
    <w:rsid w:val="3DA9667F"/>
    <w:rsid w:val="3DAA1B3A"/>
    <w:rsid w:val="3DB17297"/>
    <w:rsid w:val="3DBB6C89"/>
    <w:rsid w:val="3DCD6921"/>
    <w:rsid w:val="3DCE2BD5"/>
    <w:rsid w:val="3DD16176"/>
    <w:rsid w:val="3DD67156"/>
    <w:rsid w:val="3DD745F2"/>
    <w:rsid w:val="3DE04FCE"/>
    <w:rsid w:val="3DE26B28"/>
    <w:rsid w:val="3DE37514"/>
    <w:rsid w:val="3DE548AC"/>
    <w:rsid w:val="3DE653F8"/>
    <w:rsid w:val="3DE72673"/>
    <w:rsid w:val="3DEB1255"/>
    <w:rsid w:val="3DEE1FBE"/>
    <w:rsid w:val="3DEE62E8"/>
    <w:rsid w:val="3DF028C5"/>
    <w:rsid w:val="3DF94D6E"/>
    <w:rsid w:val="3E0448CB"/>
    <w:rsid w:val="3E073B6A"/>
    <w:rsid w:val="3E0918A5"/>
    <w:rsid w:val="3E0F25EA"/>
    <w:rsid w:val="3E146F59"/>
    <w:rsid w:val="3E197897"/>
    <w:rsid w:val="3E220E05"/>
    <w:rsid w:val="3E22755F"/>
    <w:rsid w:val="3E237BCC"/>
    <w:rsid w:val="3E255AC9"/>
    <w:rsid w:val="3E3419DC"/>
    <w:rsid w:val="3E376233"/>
    <w:rsid w:val="3E3C5F3C"/>
    <w:rsid w:val="3E3E306A"/>
    <w:rsid w:val="3E3F2CA0"/>
    <w:rsid w:val="3E454B0D"/>
    <w:rsid w:val="3E463CA5"/>
    <w:rsid w:val="3E46739D"/>
    <w:rsid w:val="3E4B2DC3"/>
    <w:rsid w:val="3E535A69"/>
    <w:rsid w:val="3E583BB7"/>
    <w:rsid w:val="3E5A1D01"/>
    <w:rsid w:val="3E5B12DC"/>
    <w:rsid w:val="3E623E46"/>
    <w:rsid w:val="3E63159D"/>
    <w:rsid w:val="3E667FB0"/>
    <w:rsid w:val="3E680BF1"/>
    <w:rsid w:val="3E6953E3"/>
    <w:rsid w:val="3E780453"/>
    <w:rsid w:val="3E7A1C88"/>
    <w:rsid w:val="3E836D6C"/>
    <w:rsid w:val="3E837966"/>
    <w:rsid w:val="3E844725"/>
    <w:rsid w:val="3E8B095A"/>
    <w:rsid w:val="3E8D0487"/>
    <w:rsid w:val="3E8D66A1"/>
    <w:rsid w:val="3E8E6C82"/>
    <w:rsid w:val="3E942719"/>
    <w:rsid w:val="3E943FDD"/>
    <w:rsid w:val="3E95645F"/>
    <w:rsid w:val="3E9A19C5"/>
    <w:rsid w:val="3E9E1F00"/>
    <w:rsid w:val="3E9E3078"/>
    <w:rsid w:val="3EA5280C"/>
    <w:rsid w:val="3EA824AB"/>
    <w:rsid w:val="3EAB1E08"/>
    <w:rsid w:val="3EAC3BDD"/>
    <w:rsid w:val="3EB767A1"/>
    <w:rsid w:val="3EBB7EC0"/>
    <w:rsid w:val="3EC055C8"/>
    <w:rsid w:val="3EC31440"/>
    <w:rsid w:val="3EC41A48"/>
    <w:rsid w:val="3EC5174F"/>
    <w:rsid w:val="3EC51CAD"/>
    <w:rsid w:val="3EC720C9"/>
    <w:rsid w:val="3EC80A9D"/>
    <w:rsid w:val="3EC824C2"/>
    <w:rsid w:val="3EC9080A"/>
    <w:rsid w:val="3ECC4869"/>
    <w:rsid w:val="3ECD06E3"/>
    <w:rsid w:val="3ECF0F50"/>
    <w:rsid w:val="3ECF234A"/>
    <w:rsid w:val="3ED03828"/>
    <w:rsid w:val="3ED671CD"/>
    <w:rsid w:val="3EE107F4"/>
    <w:rsid w:val="3EE14A57"/>
    <w:rsid w:val="3EE21263"/>
    <w:rsid w:val="3EF36AD8"/>
    <w:rsid w:val="3EF53397"/>
    <w:rsid w:val="3EF535E4"/>
    <w:rsid w:val="3EF62480"/>
    <w:rsid w:val="3EFB57DC"/>
    <w:rsid w:val="3EFE55C6"/>
    <w:rsid w:val="3F0572F1"/>
    <w:rsid w:val="3F144192"/>
    <w:rsid w:val="3F1871AF"/>
    <w:rsid w:val="3F206E95"/>
    <w:rsid w:val="3F217DDA"/>
    <w:rsid w:val="3F2B184D"/>
    <w:rsid w:val="3F2C36BA"/>
    <w:rsid w:val="3F2C7646"/>
    <w:rsid w:val="3F2F01F0"/>
    <w:rsid w:val="3F3C6744"/>
    <w:rsid w:val="3F421D47"/>
    <w:rsid w:val="3F441B08"/>
    <w:rsid w:val="3F4A4087"/>
    <w:rsid w:val="3F5361F5"/>
    <w:rsid w:val="3F555F0F"/>
    <w:rsid w:val="3F556D23"/>
    <w:rsid w:val="3F5A4F9D"/>
    <w:rsid w:val="3F5C38C5"/>
    <w:rsid w:val="3F673021"/>
    <w:rsid w:val="3F6B3632"/>
    <w:rsid w:val="3F742249"/>
    <w:rsid w:val="3F776E0A"/>
    <w:rsid w:val="3F8978E2"/>
    <w:rsid w:val="3F940D9B"/>
    <w:rsid w:val="3F952814"/>
    <w:rsid w:val="3F956B94"/>
    <w:rsid w:val="3F9C0821"/>
    <w:rsid w:val="3F9C213C"/>
    <w:rsid w:val="3FA113C4"/>
    <w:rsid w:val="3FA41C63"/>
    <w:rsid w:val="3FAB100B"/>
    <w:rsid w:val="3FAB3D87"/>
    <w:rsid w:val="3FAB41A2"/>
    <w:rsid w:val="3FAE47F6"/>
    <w:rsid w:val="3FB03D8B"/>
    <w:rsid w:val="3FB77F5A"/>
    <w:rsid w:val="3FBB4BEF"/>
    <w:rsid w:val="3FBE30B8"/>
    <w:rsid w:val="3FCF604C"/>
    <w:rsid w:val="3FD210AC"/>
    <w:rsid w:val="3FD53CFE"/>
    <w:rsid w:val="3FD9316A"/>
    <w:rsid w:val="3FE1096B"/>
    <w:rsid w:val="3FE210C1"/>
    <w:rsid w:val="3FE417DA"/>
    <w:rsid w:val="3FEB1C22"/>
    <w:rsid w:val="3FEE2117"/>
    <w:rsid w:val="3FFA58A6"/>
    <w:rsid w:val="3FFA5C63"/>
    <w:rsid w:val="40073561"/>
    <w:rsid w:val="400A1CFC"/>
    <w:rsid w:val="401D6DEE"/>
    <w:rsid w:val="401F7AF6"/>
    <w:rsid w:val="40201634"/>
    <w:rsid w:val="402079EB"/>
    <w:rsid w:val="40211B76"/>
    <w:rsid w:val="402C52D5"/>
    <w:rsid w:val="40372C35"/>
    <w:rsid w:val="403870E4"/>
    <w:rsid w:val="403D2472"/>
    <w:rsid w:val="403D7C5C"/>
    <w:rsid w:val="40400533"/>
    <w:rsid w:val="40407A9F"/>
    <w:rsid w:val="4048358D"/>
    <w:rsid w:val="4049754C"/>
    <w:rsid w:val="404B2521"/>
    <w:rsid w:val="404F7DEB"/>
    <w:rsid w:val="40572DA6"/>
    <w:rsid w:val="405A424E"/>
    <w:rsid w:val="406D461C"/>
    <w:rsid w:val="406F7D87"/>
    <w:rsid w:val="407441CC"/>
    <w:rsid w:val="40786FBC"/>
    <w:rsid w:val="407A5C67"/>
    <w:rsid w:val="407B4FD0"/>
    <w:rsid w:val="40801F54"/>
    <w:rsid w:val="40825FDB"/>
    <w:rsid w:val="40836EAD"/>
    <w:rsid w:val="40907287"/>
    <w:rsid w:val="409238F2"/>
    <w:rsid w:val="40930EBC"/>
    <w:rsid w:val="40953EC0"/>
    <w:rsid w:val="409D027A"/>
    <w:rsid w:val="409F75BB"/>
    <w:rsid w:val="40AB3054"/>
    <w:rsid w:val="40AE78C1"/>
    <w:rsid w:val="40AF2B72"/>
    <w:rsid w:val="40BC2A4B"/>
    <w:rsid w:val="40BD153A"/>
    <w:rsid w:val="40C2126A"/>
    <w:rsid w:val="40C3250A"/>
    <w:rsid w:val="40CD7BD8"/>
    <w:rsid w:val="40CE24AF"/>
    <w:rsid w:val="40D022F1"/>
    <w:rsid w:val="40D0423C"/>
    <w:rsid w:val="40D07371"/>
    <w:rsid w:val="40D72999"/>
    <w:rsid w:val="40DF3ABC"/>
    <w:rsid w:val="40E75AF0"/>
    <w:rsid w:val="40E87142"/>
    <w:rsid w:val="40EF3C78"/>
    <w:rsid w:val="40F00A85"/>
    <w:rsid w:val="40F1013C"/>
    <w:rsid w:val="40F35427"/>
    <w:rsid w:val="40FA38BC"/>
    <w:rsid w:val="40FE1447"/>
    <w:rsid w:val="41053DED"/>
    <w:rsid w:val="41152FD4"/>
    <w:rsid w:val="41216875"/>
    <w:rsid w:val="412506DF"/>
    <w:rsid w:val="412D52A9"/>
    <w:rsid w:val="41320BD6"/>
    <w:rsid w:val="413314B6"/>
    <w:rsid w:val="41360F5F"/>
    <w:rsid w:val="413815BA"/>
    <w:rsid w:val="413B1BAB"/>
    <w:rsid w:val="41434504"/>
    <w:rsid w:val="4149456B"/>
    <w:rsid w:val="414F41D7"/>
    <w:rsid w:val="414F7876"/>
    <w:rsid w:val="41515CEC"/>
    <w:rsid w:val="41546D5F"/>
    <w:rsid w:val="41574A42"/>
    <w:rsid w:val="41583B8B"/>
    <w:rsid w:val="415A0FEF"/>
    <w:rsid w:val="415A6EFE"/>
    <w:rsid w:val="415E680C"/>
    <w:rsid w:val="41604437"/>
    <w:rsid w:val="416279BA"/>
    <w:rsid w:val="41653B51"/>
    <w:rsid w:val="416655C0"/>
    <w:rsid w:val="416C15E7"/>
    <w:rsid w:val="416E039C"/>
    <w:rsid w:val="416E1B43"/>
    <w:rsid w:val="417727AB"/>
    <w:rsid w:val="417F7393"/>
    <w:rsid w:val="41800377"/>
    <w:rsid w:val="41804025"/>
    <w:rsid w:val="41835B7D"/>
    <w:rsid w:val="41895305"/>
    <w:rsid w:val="418B26ED"/>
    <w:rsid w:val="41931531"/>
    <w:rsid w:val="41986119"/>
    <w:rsid w:val="419B3B43"/>
    <w:rsid w:val="41A63744"/>
    <w:rsid w:val="41A85E90"/>
    <w:rsid w:val="41AB3AB1"/>
    <w:rsid w:val="41AC6BA3"/>
    <w:rsid w:val="41AD5F07"/>
    <w:rsid w:val="41B730A3"/>
    <w:rsid w:val="41B737E0"/>
    <w:rsid w:val="41B77B6D"/>
    <w:rsid w:val="41BA081E"/>
    <w:rsid w:val="41C20F3F"/>
    <w:rsid w:val="41CF504E"/>
    <w:rsid w:val="41D1580B"/>
    <w:rsid w:val="41D57639"/>
    <w:rsid w:val="41DC5EDF"/>
    <w:rsid w:val="41DD05DE"/>
    <w:rsid w:val="41E4117E"/>
    <w:rsid w:val="41E41803"/>
    <w:rsid w:val="41E52CA5"/>
    <w:rsid w:val="41E6368B"/>
    <w:rsid w:val="41E70652"/>
    <w:rsid w:val="41F04C42"/>
    <w:rsid w:val="41F07014"/>
    <w:rsid w:val="41F24303"/>
    <w:rsid w:val="41F52080"/>
    <w:rsid w:val="41F94D40"/>
    <w:rsid w:val="41FB53E3"/>
    <w:rsid w:val="41FD1048"/>
    <w:rsid w:val="42001B5D"/>
    <w:rsid w:val="420850A2"/>
    <w:rsid w:val="42097561"/>
    <w:rsid w:val="420C7ACC"/>
    <w:rsid w:val="4214724C"/>
    <w:rsid w:val="421555B3"/>
    <w:rsid w:val="421B1059"/>
    <w:rsid w:val="422370F9"/>
    <w:rsid w:val="42294221"/>
    <w:rsid w:val="422C32BD"/>
    <w:rsid w:val="422E207E"/>
    <w:rsid w:val="423038F8"/>
    <w:rsid w:val="4238424D"/>
    <w:rsid w:val="42413CE4"/>
    <w:rsid w:val="424255E1"/>
    <w:rsid w:val="42426D8B"/>
    <w:rsid w:val="424A277B"/>
    <w:rsid w:val="424C388F"/>
    <w:rsid w:val="424C701C"/>
    <w:rsid w:val="42552CD5"/>
    <w:rsid w:val="42571AE1"/>
    <w:rsid w:val="42637522"/>
    <w:rsid w:val="4268449D"/>
    <w:rsid w:val="42697E79"/>
    <w:rsid w:val="426E536F"/>
    <w:rsid w:val="427034C5"/>
    <w:rsid w:val="42730E0D"/>
    <w:rsid w:val="427409B9"/>
    <w:rsid w:val="42831021"/>
    <w:rsid w:val="42863926"/>
    <w:rsid w:val="4287026E"/>
    <w:rsid w:val="42873CB7"/>
    <w:rsid w:val="428A607C"/>
    <w:rsid w:val="429110B8"/>
    <w:rsid w:val="4295760D"/>
    <w:rsid w:val="429A29B1"/>
    <w:rsid w:val="429B2A93"/>
    <w:rsid w:val="429C1606"/>
    <w:rsid w:val="42A50044"/>
    <w:rsid w:val="42A87389"/>
    <w:rsid w:val="42B63D6B"/>
    <w:rsid w:val="42B92FAE"/>
    <w:rsid w:val="42C5796D"/>
    <w:rsid w:val="42D02E55"/>
    <w:rsid w:val="42D216FF"/>
    <w:rsid w:val="42D420EA"/>
    <w:rsid w:val="42D67001"/>
    <w:rsid w:val="42E06A10"/>
    <w:rsid w:val="42EF51EC"/>
    <w:rsid w:val="42F46A4C"/>
    <w:rsid w:val="42F503E1"/>
    <w:rsid w:val="42F511BA"/>
    <w:rsid w:val="42F875D5"/>
    <w:rsid w:val="43073BEF"/>
    <w:rsid w:val="430A5FFD"/>
    <w:rsid w:val="43112BE5"/>
    <w:rsid w:val="43120C73"/>
    <w:rsid w:val="43185992"/>
    <w:rsid w:val="431B56C6"/>
    <w:rsid w:val="431C7B04"/>
    <w:rsid w:val="431F752B"/>
    <w:rsid w:val="432466AA"/>
    <w:rsid w:val="432B0FC9"/>
    <w:rsid w:val="432E5E21"/>
    <w:rsid w:val="432F4EDA"/>
    <w:rsid w:val="4334749B"/>
    <w:rsid w:val="433C41B8"/>
    <w:rsid w:val="433D2335"/>
    <w:rsid w:val="433F57C3"/>
    <w:rsid w:val="43426A44"/>
    <w:rsid w:val="43443162"/>
    <w:rsid w:val="434660C5"/>
    <w:rsid w:val="434B44DC"/>
    <w:rsid w:val="43605DCC"/>
    <w:rsid w:val="43614CEE"/>
    <w:rsid w:val="4362104C"/>
    <w:rsid w:val="43621947"/>
    <w:rsid w:val="4363090C"/>
    <w:rsid w:val="43664819"/>
    <w:rsid w:val="436A2192"/>
    <w:rsid w:val="436B0C49"/>
    <w:rsid w:val="436C40C2"/>
    <w:rsid w:val="437D6585"/>
    <w:rsid w:val="438042AD"/>
    <w:rsid w:val="43837C39"/>
    <w:rsid w:val="43853F53"/>
    <w:rsid w:val="438B6310"/>
    <w:rsid w:val="43921644"/>
    <w:rsid w:val="439322F0"/>
    <w:rsid w:val="43964600"/>
    <w:rsid w:val="4397231A"/>
    <w:rsid w:val="439C3431"/>
    <w:rsid w:val="439D0E7C"/>
    <w:rsid w:val="43A26A83"/>
    <w:rsid w:val="43A41643"/>
    <w:rsid w:val="43B329A6"/>
    <w:rsid w:val="43C0281C"/>
    <w:rsid w:val="43C02B26"/>
    <w:rsid w:val="43C91C5B"/>
    <w:rsid w:val="43D10A40"/>
    <w:rsid w:val="43D67A91"/>
    <w:rsid w:val="43E21F58"/>
    <w:rsid w:val="43E35EF0"/>
    <w:rsid w:val="43F71BCF"/>
    <w:rsid w:val="43F76F69"/>
    <w:rsid w:val="43F90FED"/>
    <w:rsid w:val="43F9776B"/>
    <w:rsid w:val="43FC0DB2"/>
    <w:rsid w:val="44051440"/>
    <w:rsid w:val="44095B4D"/>
    <w:rsid w:val="440C5D56"/>
    <w:rsid w:val="44153F0C"/>
    <w:rsid w:val="44174583"/>
    <w:rsid w:val="441A5200"/>
    <w:rsid w:val="441C4432"/>
    <w:rsid w:val="441D506D"/>
    <w:rsid w:val="441E6109"/>
    <w:rsid w:val="4425456D"/>
    <w:rsid w:val="44336EAB"/>
    <w:rsid w:val="44393BD3"/>
    <w:rsid w:val="444109FB"/>
    <w:rsid w:val="44416F50"/>
    <w:rsid w:val="444E22EA"/>
    <w:rsid w:val="44584267"/>
    <w:rsid w:val="44613B53"/>
    <w:rsid w:val="44705173"/>
    <w:rsid w:val="44740841"/>
    <w:rsid w:val="4476407C"/>
    <w:rsid w:val="447B4A66"/>
    <w:rsid w:val="447D4136"/>
    <w:rsid w:val="44825790"/>
    <w:rsid w:val="44861189"/>
    <w:rsid w:val="448B5845"/>
    <w:rsid w:val="448C73DD"/>
    <w:rsid w:val="448E0EB7"/>
    <w:rsid w:val="44903CE7"/>
    <w:rsid w:val="44907237"/>
    <w:rsid w:val="449510AA"/>
    <w:rsid w:val="4499566C"/>
    <w:rsid w:val="449D7968"/>
    <w:rsid w:val="44AA6690"/>
    <w:rsid w:val="44AC7B53"/>
    <w:rsid w:val="44AD2A20"/>
    <w:rsid w:val="44B1082D"/>
    <w:rsid w:val="44B41964"/>
    <w:rsid w:val="44B4690B"/>
    <w:rsid w:val="44B53006"/>
    <w:rsid w:val="44B94962"/>
    <w:rsid w:val="44BA1648"/>
    <w:rsid w:val="44BA7605"/>
    <w:rsid w:val="44BB150F"/>
    <w:rsid w:val="44BE4FA9"/>
    <w:rsid w:val="44C1032E"/>
    <w:rsid w:val="44C43057"/>
    <w:rsid w:val="44C46F12"/>
    <w:rsid w:val="44C816C4"/>
    <w:rsid w:val="44C87C0F"/>
    <w:rsid w:val="44C932D0"/>
    <w:rsid w:val="44CB4FB3"/>
    <w:rsid w:val="44D012B4"/>
    <w:rsid w:val="44D31B1E"/>
    <w:rsid w:val="44DE6732"/>
    <w:rsid w:val="44DF6F1B"/>
    <w:rsid w:val="44E54BDC"/>
    <w:rsid w:val="44E92DF3"/>
    <w:rsid w:val="44F82D0E"/>
    <w:rsid w:val="44FF7037"/>
    <w:rsid w:val="45004D64"/>
    <w:rsid w:val="450174D5"/>
    <w:rsid w:val="451C5E9C"/>
    <w:rsid w:val="45214561"/>
    <w:rsid w:val="452C5F0A"/>
    <w:rsid w:val="453401C9"/>
    <w:rsid w:val="45347499"/>
    <w:rsid w:val="453579B0"/>
    <w:rsid w:val="45385EDA"/>
    <w:rsid w:val="453F48AB"/>
    <w:rsid w:val="454036A6"/>
    <w:rsid w:val="45446179"/>
    <w:rsid w:val="454E0AAC"/>
    <w:rsid w:val="454E4F75"/>
    <w:rsid w:val="454E6B7A"/>
    <w:rsid w:val="4551463D"/>
    <w:rsid w:val="45520426"/>
    <w:rsid w:val="45522E35"/>
    <w:rsid w:val="45572AB5"/>
    <w:rsid w:val="455A7708"/>
    <w:rsid w:val="45697967"/>
    <w:rsid w:val="456C4CA4"/>
    <w:rsid w:val="457736FF"/>
    <w:rsid w:val="457751D0"/>
    <w:rsid w:val="45790DCE"/>
    <w:rsid w:val="457E31A2"/>
    <w:rsid w:val="45835C3C"/>
    <w:rsid w:val="45870E95"/>
    <w:rsid w:val="458B757C"/>
    <w:rsid w:val="458D679F"/>
    <w:rsid w:val="459026D9"/>
    <w:rsid w:val="45917B8A"/>
    <w:rsid w:val="459B634C"/>
    <w:rsid w:val="459D445E"/>
    <w:rsid w:val="459F2381"/>
    <w:rsid w:val="45A1053A"/>
    <w:rsid w:val="45A11196"/>
    <w:rsid w:val="45A47990"/>
    <w:rsid w:val="45A60E44"/>
    <w:rsid w:val="45A74FA6"/>
    <w:rsid w:val="45A7533B"/>
    <w:rsid w:val="45AA0217"/>
    <w:rsid w:val="45B315CE"/>
    <w:rsid w:val="45B5611D"/>
    <w:rsid w:val="45B64B84"/>
    <w:rsid w:val="45BA6033"/>
    <w:rsid w:val="45C85EA2"/>
    <w:rsid w:val="45D9022E"/>
    <w:rsid w:val="45E3021B"/>
    <w:rsid w:val="45E37678"/>
    <w:rsid w:val="45E526A6"/>
    <w:rsid w:val="45E56E31"/>
    <w:rsid w:val="45E66893"/>
    <w:rsid w:val="45E826B2"/>
    <w:rsid w:val="45F4334C"/>
    <w:rsid w:val="46056B2C"/>
    <w:rsid w:val="460D3781"/>
    <w:rsid w:val="461B7F64"/>
    <w:rsid w:val="461F36FD"/>
    <w:rsid w:val="462D4B2D"/>
    <w:rsid w:val="462E4FF5"/>
    <w:rsid w:val="46365246"/>
    <w:rsid w:val="463E1C6A"/>
    <w:rsid w:val="46466453"/>
    <w:rsid w:val="464871AD"/>
    <w:rsid w:val="464937C4"/>
    <w:rsid w:val="464B3175"/>
    <w:rsid w:val="464E3AE9"/>
    <w:rsid w:val="46541070"/>
    <w:rsid w:val="465918B0"/>
    <w:rsid w:val="46591F99"/>
    <w:rsid w:val="465D0995"/>
    <w:rsid w:val="4662020E"/>
    <w:rsid w:val="466D3070"/>
    <w:rsid w:val="4671651F"/>
    <w:rsid w:val="46787358"/>
    <w:rsid w:val="467929D1"/>
    <w:rsid w:val="4679494F"/>
    <w:rsid w:val="467A6815"/>
    <w:rsid w:val="467E1A24"/>
    <w:rsid w:val="46866306"/>
    <w:rsid w:val="468A27AC"/>
    <w:rsid w:val="468E6888"/>
    <w:rsid w:val="46914620"/>
    <w:rsid w:val="46963469"/>
    <w:rsid w:val="46964671"/>
    <w:rsid w:val="46981A1E"/>
    <w:rsid w:val="46987D2F"/>
    <w:rsid w:val="46995896"/>
    <w:rsid w:val="469D5DE8"/>
    <w:rsid w:val="46A35C12"/>
    <w:rsid w:val="46A55B0E"/>
    <w:rsid w:val="46A82992"/>
    <w:rsid w:val="46AA501B"/>
    <w:rsid w:val="46AD7A54"/>
    <w:rsid w:val="46B134DD"/>
    <w:rsid w:val="46B419BE"/>
    <w:rsid w:val="46B640D3"/>
    <w:rsid w:val="46B66C70"/>
    <w:rsid w:val="46CD1F17"/>
    <w:rsid w:val="46D126E3"/>
    <w:rsid w:val="46D67289"/>
    <w:rsid w:val="46DB64CD"/>
    <w:rsid w:val="46DD1D17"/>
    <w:rsid w:val="46E1018C"/>
    <w:rsid w:val="46E53AB0"/>
    <w:rsid w:val="46EE5C1E"/>
    <w:rsid w:val="46F37479"/>
    <w:rsid w:val="46F43423"/>
    <w:rsid w:val="46FC2FE8"/>
    <w:rsid w:val="47033281"/>
    <w:rsid w:val="47065799"/>
    <w:rsid w:val="47073BE8"/>
    <w:rsid w:val="470872CF"/>
    <w:rsid w:val="470D53CA"/>
    <w:rsid w:val="4714139C"/>
    <w:rsid w:val="47143F5A"/>
    <w:rsid w:val="471563E1"/>
    <w:rsid w:val="47167C67"/>
    <w:rsid w:val="47333B1B"/>
    <w:rsid w:val="47351654"/>
    <w:rsid w:val="473D0BD8"/>
    <w:rsid w:val="47457188"/>
    <w:rsid w:val="47502F2C"/>
    <w:rsid w:val="47561DDC"/>
    <w:rsid w:val="47592D4E"/>
    <w:rsid w:val="47644CFB"/>
    <w:rsid w:val="47666951"/>
    <w:rsid w:val="47683159"/>
    <w:rsid w:val="476A7D07"/>
    <w:rsid w:val="478046DF"/>
    <w:rsid w:val="479766B4"/>
    <w:rsid w:val="479A2857"/>
    <w:rsid w:val="479A401E"/>
    <w:rsid w:val="479A472B"/>
    <w:rsid w:val="479D7800"/>
    <w:rsid w:val="47A240A4"/>
    <w:rsid w:val="47A60277"/>
    <w:rsid w:val="47A83BFD"/>
    <w:rsid w:val="47AA1593"/>
    <w:rsid w:val="47B44BED"/>
    <w:rsid w:val="47B77348"/>
    <w:rsid w:val="47BC3466"/>
    <w:rsid w:val="47BF5FB3"/>
    <w:rsid w:val="47C24BB0"/>
    <w:rsid w:val="47D730B6"/>
    <w:rsid w:val="47DD6490"/>
    <w:rsid w:val="47DD6A91"/>
    <w:rsid w:val="47E62C82"/>
    <w:rsid w:val="47E9396D"/>
    <w:rsid w:val="47EB0853"/>
    <w:rsid w:val="47EB5BFA"/>
    <w:rsid w:val="47F46D42"/>
    <w:rsid w:val="47FA20F9"/>
    <w:rsid w:val="47FF3A74"/>
    <w:rsid w:val="48041F1C"/>
    <w:rsid w:val="480B1862"/>
    <w:rsid w:val="480B749D"/>
    <w:rsid w:val="480B7A59"/>
    <w:rsid w:val="48111DC2"/>
    <w:rsid w:val="48156BFB"/>
    <w:rsid w:val="481E5F8D"/>
    <w:rsid w:val="48204877"/>
    <w:rsid w:val="482B39B5"/>
    <w:rsid w:val="482D350F"/>
    <w:rsid w:val="483A4006"/>
    <w:rsid w:val="483B5BCA"/>
    <w:rsid w:val="483C2A8C"/>
    <w:rsid w:val="483F5850"/>
    <w:rsid w:val="48424FA1"/>
    <w:rsid w:val="484647AE"/>
    <w:rsid w:val="484F1901"/>
    <w:rsid w:val="485216B9"/>
    <w:rsid w:val="48594C05"/>
    <w:rsid w:val="485D5413"/>
    <w:rsid w:val="485D58DA"/>
    <w:rsid w:val="485F3492"/>
    <w:rsid w:val="485F5D85"/>
    <w:rsid w:val="4864535D"/>
    <w:rsid w:val="48664A02"/>
    <w:rsid w:val="487141DB"/>
    <w:rsid w:val="48740F16"/>
    <w:rsid w:val="48747A97"/>
    <w:rsid w:val="487572A2"/>
    <w:rsid w:val="487A2A25"/>
    <w:rsid w:val="487C0397"/>
    <w:rsid w:val="48850976"/>
    <w:rsid w:val="488C5FA3"/>
    <w:rsid w:val="488D22FD"/>
    <w:rsid w:val="488E25F1"/>
    <w:rsid w:val="48942964"/>
    <w:rsid w:val="489B3E72"/>
    <w:rsid w:val="489B4431"/>
    <w:rsid w:val="489E6A24"/>
    <w:rsid w:val="489F0E5C"/>
    <w:rsid w:val="48A252D4"/>
    <w:rsid w:val="48A36B1C"/>
    <w:rsid w:val="48A76BEF"/>
    <w:rsid w:val="48AF255D"/>
    <w:rsid w:val="48B16C29"/>
    <w:rsid w:val="48B305F1"/>
    <w:rsid w:val="48B44D6B"/>
    <w:rsid w:val="48B470F8"/>
    <w:rsid w:val="48B75AB4"/>
    <w:rsid w:val="48C17F25"/>
    <w:rsid w:val="48C3444A"/>
    <w:rsid w:val="48C34E74"/>
    <w:rsid w:val="48C43EFA"/>
    <w:rsid w:val="48C538B2"/>
    <w:rsid w:val="48C70477"/>
    <w:rsid w:val="48C72E35"/>
    <w:rsid w:val="48C82BD7"/>
    <w:rsid w:val="48CB0DA2"/>
    <w:rsid w:val="48D25798"/>
    <w:rsid w:val="48DC218B"/>
    <w:rsid w:val="48EA0E66"/>
    <w:rsid w:val="48F04BA1"/>
    <w:rsid w:val="48F447F8"/>
    <w:rsid w:val="48F612E3"/>
    <w:rsid w:val="48FE11C0"/>
    <w:rsid w:val="48FE59FA"/>
    <w:rsid w:val="49046287"/>
    <w:rsid w:val="49075A63"/>
    <w:rsid w:val="490933FA"/>
    <w:rsid w:val="490A4D2F"/>
    <w:rsid w:val="490A64AF"/>
    <w:rsid w:val="491709CE"/>
    <w:rsid w:val="49217522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4D614B"/>
    <w:rsid w:val="49505C0C"/>
    <w:rsid w:val="49535C21"/>
    <w:rsid w:val="49550FF0"/>
    <w:rsid w:val="495870F5"/>
    <w:rsid w:val="495B528B"/>
    <w:rsid w:val="495C3370"/>
    <w:rsid w:val="49604C59"/>
    <w:rsid w:val="49623CA4"/>
    <w:rsid w:val="49627779"/>
    <w:rsid w:val="496409A2"/>
    <w:rsid w:val="496459A7"/>
    <w:rsid w:val="496926EA"/>
    <w:rsid w:val="496E6FC2"/>
    <w:rsid w:val="49707759"/>
    <w:rsid w:val="49715E0F"/>
    <w:rsid w:val="49756718"/>
    <w:rsid w:val="497F5591"/>
    <w:rsid w:val="49822E2F"/>
    <w:rsid w:val="498950D9"/>
    <w:rsid w:val="498B578B"/>
    <w:rsid w:val="498F38E6"/>
    <w:rsid w:val="498F7475"/>
    <w:rsid w:val="49927DFC"/>
    <w:rsid w:val="499322C4"/>
    <w:rsid w:val="4995326A"/>
    <w:rsid w:val="4995554E"/>
    <w:rsid w:val="499B3646"/>
    <w:rsid w:val="499C3504"/>
    <w:rsid w:val="499C3A4F"/>
    <w:rsid w:val="499E20E3"/>
    <w:rsid w:val="49A43EE6"/>
    <w:rsid w:val="49AB3DB8"/>
    <w:rsid w:val="49B4201A"/>
    <w:rsid w:val="49BA6924"/>
    <w:rsid w:val="49C20C6C"/>
    <w:rsid w:val="49CE0C89"/>
    <w:rsid w:val="49D93C20"/>
    <w:rsid w:val="49DA3FD3"/>
    <w:rsid w:val="49DA7AB7"/>
    <w:rsid w:val="49E028D9"/>
    <w:rsid w:val="49E353F8"/>
    <w:rsid w:val="49E46DD1"/>
    <w:rsid w:val="49E95933"/>
    <w:rsid w:val="49EF7DBB"/>
    <w:rsid w:val="49F53DE3"/>
    <w:rsid w:val="49F7729C"/>
    <w:rsid w:val="49FA57FE"/>
    <w:rsid w:val="4A0238A8"/>
    <w:rsid w:val="4A0573EC"/>
    <w:rsid w:val="4A06116C"/>
    <w:rsid w:val="4A070E8E"/>
    <w:rsid w:val="4A09499E"/>
    <w:rsid w:val="4A14785B"/>
    <w:rsid w:val="4A175A09"/>
    <w:rsid w:val="4A19214F"/>
    <w:rsid w:val="4A1F7925"/>
    <w:rsid w:val="4A2322DF"/>
    <w:rsid w:val="4A2E7749"/>
    <w:rsid w:val="4A31144E"/>
    <w:rsid w:val="4A381BA6"/>
    <w:rsid w:val="4A3926E2"/>
    <w:rsid w:val="4A4172CE"/>
    <w:rsid w:val="4A43236C"/>
    <w:rsid w:val="4A4A176A"/>
    <w:rsid w:val="4A5370A6"/>
    <w:rsid w:val="4A5C4447"/>
    <w:rsid w:val="4A5C6983"/>
    <w:rsid w:val="4A643FBD"/>
    <w:rsid w:val="4A652ED9"/>
    <w:rsid w:val="4A6C0FC7"/>
    <w:rsid w:val="4A6D7FF3"/>
    <w:rsid w:val="4A732739"/>
    <w:rsid w:val="4A732F85"/>
    <w:rsid w:val="4A7413BF"/>
    <w:rsid w:val="4A7D09F3"/>
    <w:rsid w:val="4A825AD9"/>
    <w:rsid w:val="4A840EFE"/>
    <w:rsid w:val="4A850C8F"/>
    <w:rsid w:val="4A8953AB"/>
    <w:rsid w:val="4A8B5CEB"/>
    <w:rsid w:val="4A95521B"/>
    <w:rsid w:val="4A970AB1"/>
    <w:rsid w:val="4A984236"/>
    <w:rsid w:val="4A9C6332"/>
    <w:rsid w:val="4AA4318E"/>
    <w:rsid w:val="4AA456B8"/>
    <w:rsid w:val="4AA75186"/>
    <w:rsid w:val="4AAF1B3A"/>
    <w:rsid w:val="4AB01D3D"/>
    <w:rsid w:val="4AB113DF"/>
    <w:rsid w:val="4AB60988"/>
    <w:rsid w:val="4AB75FB2"/>
    <w:rsid w:val="4ABB3CDE"/>
    <w:rsid w:val="4AC36436"/>
    <w:rsid w:val="4AC41CC1"/>
    <w:rsid w:val="4AC4256B"/>
    <w:rsid w:val="4AC66331"/>
    <w:rsid w:val="4AC860DD"/>
    <w:rsid w:val="4AD162A8"/>
    <w:rsid w:val="4AD25C89"/>
    <w:rsid w:val="4AD768C6"/>
    <w:rsid w:val="4AD82D04"/>
    <w:rsid w:val="4ADE0BED"/>
    <w:rsid w:val="4AE0796F"/>
    <w:rsid w:val="4AE30444"/>
    <w:rsid w:val="4AE31B85"/>
    <w:rsid w:val="4AEF0F11"/>
    <w:rsid w:val="4AF902F5"/>
    <w:rsid w:val="4AF94D42"/>
    <w:rsid w:val="4B0107DC"/>
    <w:rsid w:val="4B020D4E"/>
    <w:rsid w:val="4B021266"/>
    <w:rsid w:val="4B081F1A"/>
    <w:rsid w:val="4B0A119A"/>
    <w:rsid w:val="4B0D6C0E"/>
    <w:rsid w:val="4B183767"/>
    <w:rsid w:val="4B1C66E8"/>
    <w:rsid w:val="4B205D7D"/>
    <w:rsid w:val="4B28587C"/>
    <w:rsid w:val="4B292683"/>
    <w:rsid w:val="4B294C7C"/>
    <w:rsid w:val="4B304EAD"/>
    <w:rsid w:val="4B376E2E"/>
    <w:rsid w:val="4B385AE2"/>
    <w:rsid w:val="4B387AC6"/>
    <w:rsid w:val="4B3D5656"/>
    <w:rsid w:val="4B3F4861"/>
    <w:rsid w:val="4B452D17"/>
    <w:rsid w:val="4B475D91"/>
    <w:rsid w:val="4B4C459F"/>
    <w:rsid w:val="4B5005ED"/>
    <w:rsid w:val="4B50566A"/>
    <w:rsid w:val="4B53122B"/>
    <w:rsid w:val="4B5456EE"/>
    <w:rsid w:val="4B571002"/>
    <w:rsid w:val="4B5863B7"/>
    <w:rsid w:val="4B5912E9"/>
    <w:rsid w:val="4B5D1DDE"/>
    <w:rsid w:val="4B632C97"/>
    <w:rsid w:val="4B683C6A"/>
    <w:rsid w:val="4B6B2DB9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D4CA2"/>
    <w:rsid w:val="4BB42604"/>
    <w:rsid w:val="4BB46644"/>
    <w:rsid w:val="4BB548C0"/>
    <w:rsid w:val="4BB5799E"/>
    <w:rsid w:val="4BC456EF"/>
    <w:rsid w:val="4BC647B0"/>
    <w:rsid w:val="4BCB1BAE"/>
    <w:rsid w:val="4BD94F2A"/>
    <w:rsid w:val="4BDF4B49"/>
    <w:rsid w:val="4BE57E16"/>
    <w:rsid w:val="4BE819D0"/>
    <w:rsid w:val="4BE8649D"/>
    <w:rsid w:val="4BFC6FFD"/>
    <w:rsid w:val="4C001A94"/>
    <w:rsid w:val="4C0107B1"/>
    <w:rsid w:val="4C0236B4"/>
    <w:rsid w:val="4C0C091F"/>
    <w:rsid w:val="4C0E6780"/>
    <w:rsid w:val="4C1321BA"/>
    <w:rsid w:val="4C145CE0"/>
    <w:rsid w:val="4C155A41"/>
    <w:rsid w:val="4C16297D"/>
    <w:rsid w:val="4C170C9D"/>
    <w:rsid w:val="4C186D56"/>
    <w:rsid w:val="4C192F75"/>
    <w:rsid w:val="4C1C0BD6"/>
    <w:rsid w:val="4C1E085C"/>
    <w:rsid w:val="4C1E7AAC"/>
    <w:rsid w:val="4C20259F"/>
    <w:rsid w:val="4C2840CB"/>
    <w:rsid w:val="4C312ECF"/>
    <w:rsid w:val="4C422CA7"/>
    <w:rsid w:val="4C427C5C"/>
    <w:rsid w:val="4C5035A1"/>
    <w:rsid w:val="4C5E445B"/>
    <w:rsid w:val="4C5F0B5D"/>
    <w:rsid w:val="4C606F33"/>
    <w:rsid w:val="4C6426ED"/>
    <w:rsid w:val="4C64471A"/>
    <w:rsid w:val="4C6C2FE2"/>
    <w:rsid w:val="4C6D5BD4"/>
    <w:rsid w:val="4C6F6529"/>
    <w:rsid w:val="4C774BF8"/>
    <w:rsid w:val="4C77619E"/>
    <w:rsid w:val="4C860543"/>
    <w:rsid w:val="4C8740CC"/>
    <w:rsid w:val="4C8E48D8"/>
    <w:rsid w:val="4C9538F4"/>
    <w:rsid w:val="4C974009"/>
    <w:rsid w:val="4C987412"/>
    <w:rsid w:val="4C9D4CBE"/>
    <w:rsid w:val="4CA6111C"/>
    <w:rsid w:val="4CA867B8"/>
    <w:rsid w:val="4CB3742C"/>
    <w:rsid w:val="4CB50036"/>
    <w:rsid w:val="4CB63E1D"/>
    <w:rsid w:val="4CBB546E"/>
    <w:rsid w:val="4CC17C3E"/>
    <w:rsid w:val="4CC25B41"/>
    <w:rsid w:val="4CC42462"/>
    <w:rsid w:val="4CC42E37"/>
    <w:rsid w:val="4CC82CB8"/>
    <w:rsid w:val="4CC91343"/>
    <w:rsid w:val="4CCB369E"/>
    <w:rsid w:val="4CCB7596"/>
    <w:rsid w:val="4CCD557A"/>
    <w:rsid w:val="4CCD5921"/>
    <w:rsid w:val="4CCF0694"/>
    <w:rsid w:val="4CCF070A"/>
    <w:rsid w:val="4CCF2105"/>
    <w:rsid w:val="4CD550D5"/>
    <w:rsid w:val="4CDA21DD"/>
    <w:rsid w:val="4CDD4AFB"/>
    <w:rsid w:val="4CE472E9"/>
    <w:rsid w:val="4CEF0FC0"/>
    <w:rsid w:val="4CF045FC"/>
    <w:rsid w:val="4CF04CFC"/>
    <w:rsid w:val="4CF05C74"/>
    <w:rsid w:val="4CF12BC2"/>
    <w:rsid w:val="4CF26BC3"/>
    <w:rsid w:val="4CFB51DB"/>
    <w:rsid w:val="4CFC3F2E"/>
    <w:rsid w:val="4D02630C"/>
    <w:rsid w:val="4D063B0D"/>
    <w:rsid w:val="4D0F1680"/>
    <w:rsid w:val="4D0F52FA"/>
    <w:rsid w:val="4D1D6CA0"/>
    <w:rsid w:val="4D2609C6"/>
    <w:rsid w:val="4D2A2C09"/>
    <w:rsid w:val="4D2B2E28"/>
    <w:rsid w:val="4D2F5C2A"/>
    <w:rsid w:val="4D33448A"/>
    <w:rsid w:val="4D3E3476"/>
    <w:rsid w:val="4D3E5124"/>
    <w:rsid w:val="4D3F3AA0"/>
    <w:rsid w:val="4D3F4840"/>
    <w:rsid w:val="4D410392"/>
    <w:rsid w:val="4D422D07"/>
    <w:rsid w:val="4D427BBD"/>
    <w:rsid w:val="4D551492"/>
    <w:rsid w:val="4D5646C6"/>
    <w:rsid w:val="4D570519"/>
    <w:rsid w:val="4D5A2B9C"/>
    <w:rsid w:val="4D5C5732"/>
    <w:rsid w:val="4D601BF0"/>
    <w:rsid w:val="4D656800"/>
    <w:rsid w:val="4D6C4B60"/>
    <w:rsid w:val="4D6D0CFF"/>
    <w:rsid w:val="4D705706"/>
    <w:rsid w:val="4D7220A0"/>
    <w:rsid w:val="4D722EC4"/>
    <w:rsid w:val="4D76173E"/>
    <w:rsid w:val="4D795468"/>
    <w:rsid w:val="4D8814DC"/>
    <w:rsid w:val="4D8A58C0"/>
    <w:rsid w:val="4D8D11C1"/>
    <w:rsid w:val="4D922BF5"/>
    <w:rsid w:val="4D9B5A29"/>
    <w:rsid w:val="4DA53BC8"/>
    <w:rsid w:val="4DA72415"/>
    <w:rsid w:val="4DB056F4"/>
    <w:rsid w:val="4DB41824"/>
    <w:rsid w:val="4DB95A69"/>
    <w:rsid w:val="4DBD1F3A"/>
    <w:rsid w:val="4DBD526D"/>
    <w:rsid w:val="4DC31B92"/>
    <w:rsid w:val="4DCA77DE"/>
    <w:rsid w:val="4DD776ED"/>
    <w:rsid w:val="4DDF6E13"/>
    <w:rsid w:val="4DE5202D"/>
    <w:rsid w:val="4DE54C28"/>
    <w:rsid w:val="4DE60E50"/>
    <w:rsid w:val="4DEB4734"/>
    <w:rsid w:val="4DEF33CD"/>
    <w:rsid w:val="4DF00490"/>
    <w:rsid w:val="4DF20FEE"/>
    <w:rsid w:val="4DF2434F"/>
    <w:rsid w:val="4DF43CA1"/>
    <w:rsid w:val="4E007E98"/>
    <w:rsid w:val="4E016672"/>
    <w:rsid w:val="4E066F25"/>
    <w:rsid w:val="4E0939E5"/>
    <w:rsid w:val="4E1561BE"/>
    <w:rsid w:val="4E176DF3"/>
    <w:rsid w:val="4E1A2F68"/>
    <w:rsid w:val="4E1E7D0E"/>
    <w:rsid w:val="4E210A5C"/>
    <w:rsid w:val="4E2C6A36"/>
    <w:rsid w:val="4E342F40"/>
    <w:rsid w:val="4E3A2C21"/>
    <w:rsid w:val="4E412A4D"/>
    <w:rsid w:val="4E4475F5"/>
    <w:rsid w:val="4E587463"/>
    <w:rsid w:val="4E5A3449"/>
    <w:rsid w:val="4E5A5499"/>
    <w:rsid w:val="4E656FCA"/>
    <w:rsid w:val="4E68543B"/>
    <w:rsid w:val="4E6906EE"/>
    <w:rsid w:val="4E694E99"/>
    <w:rsid w:val="4E6D1740"/>
    <w:rsid w:val="4E7125DA"/>
    <w:rsid w:val="4E795FE9"/>
    <w:rsid w:val="4E797F06"/>
    <w:rsid w:val="4E8D3751"/>
    <w:rsid w:val="4E8D41BC"/>
    <w:rsid w:val="4E904370"/>
    <w:rsid w:val="4E937457"/>
    <w:rsid w:val="4E937763"/>
    <w:rsid w:val="4E991182"/>
    <w:rsid w:val="4E9E5BA9"/>
    <w:rsid w:val="4E9F5613"/>
    <w:rsid w:val="4EA81348"/>
    <w:rsid w:val="4EA9172F"/>
    <w:rsid w:val="4EAC241A"/>
    <w:rsid w:val="4EB67945"/>
    <w:rsid w:val="4EC420B9"/>
    <w:rsid w:val="4EC91E2C"/>
    <w:rsid w:val="4ECA2CB3"/>
    <w:rsid w:val="4ECD7B05"/>
    <w:rsid w:val="4ED32EBD"/>
    <w:rsid w:val="4EE17B77"/>
    <w:rsid w:val="4EE44103"/>
    <w:rsid w:val="4EE61722"/>
    <w:rsid w:val="4EE86D63"/>
    <w:rsid w:val="4EEC3838"/>
    <w:rsid w:val="4EEE11A3"/>
    <w:rsid w:val="4EF07E6E"/>
    <w:rsid w:val="4EFA2D21"/>
    <w:rsid w:val="4EFA68DB"/>
    <w:rsid w:val="4EFE4EC2"/>
    <w:rsid w:val="4EFF3444"/>
    <w:rsid w:val="4F037BFA"/>
    <w:rsid w:val="4F0441E5"/>
    <w:rsid w:val="4F0736E2"/>
    <w:rsid w:val="4F0F1D99"/>
    <w:rsid w:val="4F155F27"/>
    <w:rsid w:val="4F16131E"/>
    <w:rsid w:val="4F181305"/>
    <w:rsid w:val="4F1A238F"/>
    <w:rsid w:val="4F1D1400"/>
    <w:rsid w:val="4F1D1653"/>
    <w:rsid w:val="4F25535C"/>
    <w:rsid w:val="4F2C365D"/>
    <w:rsid w:val="4F301FFB"/>
    <w:rsid w:val="4F36758C"/>
    <w:rsid w:val="4F376D93"/>
    <w:rsid w:val="4F3957DF"/>
    <w:rsid w:val="4F3D4163"/>
    <w:rsid w:val="4F50208E"/>
    <w:rsid w:val="4F560A53"/>
    <w:rsid w:val="4F611147"/>
    <w:rsid w:val="4F6E6F86"/>
    <w:rsid w:val="4F7278C6"/>
    <w:rsid w:val="4F764CC2"/>
    <w:rsid w:val="4F823D55"/>
    <w:rsid w:val="4F85034E"/>
    <w:rsid w:val="4F9000F4"/>
    <w:rsid w:val="4F942C16"/>
    <w:rsid w:val="4F983E33"/>
    <w:rsid w:val="4F9B5328"/>
    <w:rsid w:val="4FAB2D3A"/>
    <w:rsid w:val="4FAB3627"/>
    <w:rsid w:val="4FAB7893"/>
    <w:rsid w:val="4FAC38F8"/>
    <w:rsid w:val="4FB204D9"/>
    <w:rsid w:val="4FB40C2C"/>
    <w:rsid w:val="4FB600EC"/>
    <w:rsid w:val="4FBA52BE"/>
    <w:rsid w:val="4FBA74EE"/>
    <w:rsid w:val="4FBB5569"/>
    <w:rsid w:val="4FBF1E32"/>
    <w:rsid w:val="4FC803AA"/>
    <w:rsid w:val="4FCB45DF"/>
    <w:rsid w:val="4FCF2495"/>
    <w:rsid w:val="4FD365FC"/>
    <w:rsid w:val="4FD62D61"/>
    <w:rsid w:val="4FDC6418"/>
    <w:rsid w:val="4FDE0BFE"/>
    <w:rsid w:val="4FE13662"/>
    <w:rsid w:val="4FE15781"/>
    <w:rsid w:val="4FE3603D"/>
    <w:rsid w:val="4FE36D74"/>
    <w:rsid w:val="4FE9598E"/>
    <w:rsid w:val="4FE95A21"/>
    <w:rsid w:val="4FF5506D"/>
    <w:rsid w:val="4FF9569C"/>
    <w:rsid w:val="4FFE1157"/>
    <w:rsid w:val="4FFF3806"/>
    <w:rsid w:val="4FFF49BB"/>
    <w:rsid w:val="5004344D"/>
    <w:rsid w:val="50046739"/>
    <w:rsid w:val="50095827"/>
    <w:rsid w:val="50100572"/>
    <w:rsid w:val="5014542B"/>
    <w:rsid w:val="50167359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3E4F3A"/>
    <w:rsid w:val="504261AC"/>
    <w:rsid w:val="504311C0"/>
    <w:rsid w:val="50435189"/>
    <w:rsid w:val="50461396"/>
    <w:rsid w:val="504B1149"/>
    <w:rsid w:val="504B5456"/>
    <w:rsid w:val="5052029B"/>
    <w:rsid w:val="505F1426"/>
    <w:rsid w:val="506309DB"/>
    <w:rsid w:val="506A05E9"/>
    <w:rsid w:val="50752AF6"/>
    <w:rsid w:val="50771C00"/>
    <w:rsid w:val="508A668E"/>
    <w:rsid w:val="509A3231"/>
    <w:rsid w:val="509C736A"/>
    <w:rsid w:val="50A27585"/>
    <w:rsid w:val="50A43E2D"/>
    <w:rsid w:val="50AC0B91"/>
    <w:rsid w:val="50AF1C59"/>
    <w:rsid w:val="50B139BD"/>
    <w:rsid w:val="50B92297"/>
    <w:rsid w:val="50BD1498"/>
    <w:rsid w:val="50BE1B1D"/>
    <w:rsid w:val="50BE494F"/>
    <w:rsid w:val="50C2785E"/>
    <w:rsid w:val="50C371C0"/>
    <w:rsid w:val="50C51F05"/>
    <w:rsid w:val="50C65C4E"/>
    <w:rsid w:val="50C65E30"/>
    <w:rsid w:val="50C75F36"/>
    <w:rsid w:val="50CC5D21"/>
    <w:rsid w:val="50CE34E1"/>
    <w:rsid w:val="50D228CF"/>
    <w:rsid w:val="50D23F25"/>
    <w:rsid w:val="50E63519"/>
    <w:rsid w:val="50ED76FB"/>
    <w:rsid w:val="50F568D9"/>
    <w:rsid w:val="50FD2A03"/>
    <w:rsid w:val="510D4A1E"/>
    <w:rsid w:val="5118204E"/>
    <w:rsid w:val="51184E6D"/>
    <w:rsid w:val="51187610"/>
    <w:rsid w:val="511C491F"/>
    <w:rsid w:val="51234937"/>
    <w:rsid w:val="512B350B"/>
    <w:rsid w:val="513571BD"/>
    <w:rsid w:val="51375EAD"/>
    <w:rsid w:val="51375EB3"/>
    <w:rsid w:val="513853CC"/>
    <w:rsid w:val="51392D77"/>
    <w:rsid w:val="513D483E"/>
    <w:rsid w:val="513F081D"/>
    <w:rsid w:val="514A3498"/>
    <w:rsid w:val="514C1E16"/>
    <w:rsid w:val="514F0A29"/>
    <w:rsid w:val="515361F4"/>
    <w:rsid w:val="515529BB"/>
    <w:rsid w:val="515A64E3"/>
    <w:rsid w:val="515C30A6"/>
    <w:rsid w:val="5161698E"/>
    <w:rsid w:val="5163574F"/>
    <w:rsid w:val="51651617"/>
    <w:rsid w:val="517151A5"/>
    <w:rsid w:val="5179450A"/>
    <w:rsid w:val="51797588"/>
    <w:rsid w:val="517C0CA0"/>
    <w:rsid w:val="517D17DB"/>
    <w:rsid w:val="517F00BC"/>
    <w:rsid w:val="51861BC2"/>
    <w:rsid w:val="5188076F"/>
    <w:rsid w:val="518E0D7A"/>
    <w:rsid w:val="5195533B"/>
    <w:rsid w:val="519645E3"/>
    <w:rsid w:val="5199124A"/>
    <w:rsid w:val="519D2F03"/>
    <w:rsid w:val="51AA27FB"/>
    <w:rsid w:val="51AB0562"/>
    <w:rsid w:val="51AD6F40"/>
    <w:rsid w:val="51AE5103"/>
    <w:rsid w:val="51BE2EAE"/>
    <w:rsid w:val="51C0716E"/>
    <w:rsid w:val="51C24631"/>
    <w:rsid w:val="51D42177"/>
    <w:rsid w:val="51D43598"/>
    <w:rsid w:val="51DA51E8"/>
    <w:rsid w:val="51DA5890"/>
    <w:rsid w:val="51E31C77"/>
    <w:rsid w:val="51E90CD5"/>
    <w:rsid w:val="51EE7B3E"/>
    <w:rsid w:val="51F51BD1"/>
    <w:rsid w:val="51F96848"/>
    <w:rsid w:val="51FB40B5"/>
    <w:rsid w:val="52063C95"/>
    <w:rsid w:val="52073487"/>
    <w:rsid w:val="520A7B89"/>
    <w:rsid w:val="520E648E"/>
    <w:rsid w:val="521B775A"/>
    <w:rsid w:val="521C5D43"/>
    <w:rsid w:val="521D7ED7"/>
    <w:rsid w:val="52216835"/>
    <w:rsid w:val="52257DA4"/>
    <w:rsid w:val="52325EE7"/>
    <w:rsid w:val="5239194F"/>
    <w:rsid w:val="524D342E"/>
    <w:rsid w:val="524E54BD"/>
    <w:rsid w:val="524E5F2B"/>
    <w:rsid w:val="5257696B"/>
    <w:rsid w:val="525D4BC4"/>
    <w:rsid w:val="52612620"/>
    <w:rsid w:val="526325FA"/>
    <w:rsid w:val="526478E1"/>
    <w:rsid w:val="526A1A2F"/>
    <w:rsid w:val="526A546C"/>
    <w:rsid w:val="52790FD9"/>
    <w:rsid w:val="52887A7D"/>
    <w:rsid w:val="52894DE6"/>
    <w:rsid w:val="528C5E23"/>
    <w:rsid w:val="528D1034"/>
    <w:rsid w:val="52993DA6"/>
    <w:rsid w:val="529B5EE8"/>
    <w:rsid w:val="529F0D9B"/>
    <w:rsid w:val="52BC0926"/>
    <w:rsid w:val="52CA3D8F"/>
    <w:rsid w:val="52CD21D8"/>
    <w:rsid w:val="52CF0A4A"/>
    <w:rsid w:val="52D17A8E"/>
    <w:rsid w:val="52DA2383"/>
    <w:rsid w:val="52DC66BA"/>
    <w:rsid w:val="52DC7C0E"/>
    <w:rsid w:val="52DD5B35"/>
    <w:rsid w:val="52DE6D3F"/>
    <w:rsid w:val="52DF42EC"/>
    <w:rsid w:val="52E42485"/>
    <w:rsid w:val="52E427EA"/>
    <w:rsid w:val="52EB52A5"/>
    <w:rsid w:val="52EE154F"/>
    <w:rsid w:val="52EF0051"/>
    <w:rsid w:val="52F02D8D"/>
    <w:rsid w:val="52F24426"/>
    <w:rsid w:val="52FC1C88"/>
    <w:rsid w:val="53047263"/>
    <w:rsid w:val="5306702F"/>
    <w:rsid w:val="53112C1D"/>
    <w:rsid w:val="531241BA"/>
    <w:rsid w:val="53155215"/>
    <w:rsid w:val="531621BA"/>
    <w:rsid w:val="531D0F10"/>
    <w:rsid w:val="531F532A"/>
    <w:rsid w:val="53207ABD"/>
    <w:rsid w:val="53264D3B"/>
    <w:rsid w:val="53290BFD"/>
    <w:rsid w:val="53293966"/>
    <w:rsid w:val="532B3E9B"/>
    <w:rsid w:val="532C389F"/>
    <w:rsid w:val="532D753B"/>
    <w:rsid w:val="532F6301"/>
    <w:rsid w:val="533E0346"/>
    <w:rsid w:val="533F465D"/>
    <w:rsid w:val="534246C3"/>
    <w:rsid w:val="53477D18"/>
    <w:rsid w:val="53495ACD"/>
    <w:rsid w:val="534A5181"/>
    <w:rsid w:val="534D1493"/>
    <w:rsid w:val="534E11CE"/>
    <w:rsid w:val="535337EC"/>
    <w:rsid w:val="53556970"/>
    <w:rsid w:val="535E141D"/>
    <w:rsid w:val="535F500E"/>
    <w:rsid w:val="536240B0"/>
    <w:rsid w:val="536250CC"/>
    <w:rsid w:val="5366542B"/>
    <w:rsid w:val="536D41AE"/>
    <w:rsid w:val="536F7573"/>
    <w:rsid w:val="5370597D"/>
    <w:rsid w:val="53763151"/>
    <w:rsid w:val="53794E20"/>
    <w:rsid w:val="537A78AC"/>
    <w:rsid w:val="537D3C2F"/>
    <w:rsid w:val="538C7861"/>
    <w:rsid w:val="53914712"/>
    <w:rsid w:val="5391597D"/>
    <w:rsid w:val="53934D52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BB51C6"/>
    <w:rsid w:val="53BE1FB8"/>
    <w:rsid w:val="53C34D17"/>
    <w:rsid w:val="53C40B3B"/>
    <w:rsid w:val="53C4640B"/>
    <w:rsid w:val="53C817A7"/>
    <w:rsid w:val="53C877C6"/>
    <w:rsid w:val="53D153F9"/>
    <w:rsid w:val="53DB35A3"/>
    <w:rsid w:val="53DC2808"/>
    <w:rsid w:val="53DD2CA6"/>
    <w:rsid w:val="53DE4BEA"/>
    <w:rsid w:val="53DF54A9"/>
    <w:rsid w:val="53E07B00"/>
    <w:rsid w:val="53E27BE1"/>
    <w:rsid w:val="53EC3D29"/>
    <w:rsid w:val="53EE37DC"/>
    <w:rsid w:val="53F53801"/>
    <w:rsid w:val="53F90D34"/>
    <w:rsid w:val="53FA05A6"/>
    <w:rsid w:val="54002BFD"/>
    <w:rsid w:val="54066342"/>
    <w:rsid w:val="54096B9B"/>
    <w:rsid w:val="540A0F22"/>
    <w:rsid w:val="541942B6"/>
    <w:rsid w:val="541A3E14"/>
    <w:rsid w:val="541A40BD"/>
    <w:rsid w:val="541F38E3"/>
    <w:rsid w:val="542A1803"/>
    <w:rsid w:val="542A3FEF"/>
    <w:rsid w:val="542A5504"/>
    <w:rsid w:val="542F7A60"/>
    <w:rsid w:val="54346136"/>
    <w:rsid w:val="5438183D"/>
    <w:rsid w:val="54525BFB"/>
    <w:rsid w:val="5452765B"/>
    <w:rsid w:val="54550067"/>
    <w:rsid w:val="54580F5A"/>
    <w:rsid w:val="545D3E4A"/>
    <w:rsid w:val="54757648"/>
    <w:rsid w:val="5478695B"/>
    <w:rsid w:val="54860559"/>
    <w:rsid w:val="548810E8"/>
    <w:rsid w:val="54906088"/>
    <w:rsid w:val="54907EF0"/>
    <w:rsid w:val="549438A5"/>
    <w:rsid w:val="549C64AD"/>
    <w:rsid w:val="549C6534"/>
    <w:rsid w:val="54A07E3F"/>
    <w:rsid w:val="54A14490"/>
    <w:rsid w:val="54A153FA"/>
    <w:rsid w:val="54A343F4"/>
    <w:rsid w:val="54A36C2B"/>
    <w:rsid w:val="54AB29C5"/>
    <w:rsid w:val="54AB36A1"/>
    <w:rsid w:val="54B171C4"/>
    <w:rsid w:val="54B61DA8"/>
    <w:rsid w:val="54B62C99"/>
    <w:rsid w:val="54BC1CEB"/>
    <w:rsid w:val="54CC175C"/>
    <w:rsid w:val="54CC47C4"/>
    <w:rsid w:val="54CD258C"/>
    <w:rsid w:val="54CE1B9D"/>
    <w:rsid w:val="54DF688B"/>
    <w:rsid w:val="54E85E2E"/>
    <w:rsid w:val="54E95643"/>
    <w:rsid w:val="550E6C32"/>
    <w:rsid w:val="551C2E90"/>
    <w:rsid w:val="552D52C7"/>
    <w:rsid w:val="55397CF2"/>
    <w:rsid w:val="5546565D"/>
    <w:rsid w:val="554E0863"/>
    <w:rsid w:val="555737A6"/>
    <w:rsid w:val="55577AFF"/>
    <w:rsid w:val="55597711"/>
    <w:rsid w:val="55611FED"/>
    <w:rsid w:val="556C1CC4"/>
    <w:rsid w:val="55712540"/>
    <w:rsid w:val="55731953"/>
    <w:rsid w:val="55743D64"/>
    <w:rsid w:val="5577741D"/>
    <w:rsid w:val="557C7C08"/>
    <w:rsid w:val="557E261A"/>
    <w:rsid w:val="558126EC"/>
    <w:rsid w:val="55851522"/>
    <w:rsid w:val="558628A6"/>
    <w:rsid w:val="5587795D"/>
    <w:rsid w:val="55883323"/>
    <w:rsid w:val="55883669"/>
    <w:rsid w:val="558A44CE"/>
    <w:rsid w:val="55906233"/>
    <w:rsid w:val="55910661"/>
    <w:rsid w:val="559537DA"/>
    <w:rsid w:val="55A47B02"/>
    <w:rsid w:val="55A578C3"/>
    <w:rsid w:val="55A63100"/>
    <w:rsid w:val="55AB1B1D"/>
    <w:rsid w:val="55B07AA1"/>
    <w:rsid w:val="55B403DD"/>
    <w:rsid w:val="55B50135"/>
    <w:rsid w:val="55B511EE"/>
    <w:rsid w:val="55C0140E"/>
    <w:rsid w:val="55C07EE4"/>
    <w:rsid w:val="55C305A6"/>
    <w:rsid w:val="55C51E8F"/>
    <w:rsid w:val="55C529C2"/>
    <w:rsid w:val="55CC27C2"/>
    <w:rsid w:val="55CC4541"/>
    <w:rsid w:val="55CF48E7"/>
    <w:rsid w:val="55D0342A"/>
    <w:rsid w:val="55D3385E"/>
    <w:rsid w:val="55D50C9C"/>
    <w:rsid w:val="55D849A1"/>
    <w:rsid w:val="55E31A15"/>
    <w:rsid w:val="55E5367A"/>
    <w:rsid w:val="55E83D2F"/>
    <w:rsid w:val="55EC2EF8"/>
    <w:rsid w:val="55F37542"/>
    <w:rsid w:val="55FE6BCF"/>
    <w:rsid w:val="56017EDE"/>
    <w:rsid w:val="56027E43"/>
    <w:rsid w:val="56030BD3"/>
    <w:rsid w:val="560469FC"/>
    <w:rsid w:val="5609174E"/>
    <w:rsid w:val="561036D3"/>
    <w:rsid w:val="561B57AD"/>
    <w:rsid w:val="5621112A"/>
    <w:rsid w:val="56214A7B"/>
    <w:rsid w:val="562E1F90"/>
    <w:rsid w:val="56343C80"/>
    <w:rsid w:val="56373380"/>
    <w:rsid w:val="563B616D"/>
    <w:rsid w:val="56436207"/>
    <w:rsid w:val="56456373"/>
    <w:rsid w:val="5655420D"/>
    <w:rsid w:val="565B61BB"/>
    <w:rsid w:val="565D5FB6"/>
    <w:rsid w:val="566510CB"/>
    <w:rsid w:val="567215D4"/>
    <w:rsid w:val="56793BB2"/>
    <w:rsid w:val="56797DE1"/>
    <w:rsid w:val="567A6CC0"/>
    <w:rsid w:val="567B14A9"/>
    <w:rsid w:val="567E4F7B"/>
    <w:rsid w:val="56840A2D"/>
    <w:rsid w:val="568D0940"/>
    <w:rsid w:val="56902B88"/>
    <w:rsid w:val="56927DA4"/>
    <w:rsid w:val="56A032E3"/>
    <w:rsid w:val="56A04928"/>
    <w:rsid w:val="56A418DC"/>
    <w:rsid w:val="56A50EBB"/>
    <w:rsid w:val="56A83AE3"/>
    <w:rsid w:val="56AB6535"/>
    <w:rsid w:val="56AD02E2"/>
    <w:rsid w:val="56AD339E"/>
    <w:rsid w:val="56AE2AEE"/>
    <w:rsid w:val="56AF43C9"/>
    <w:rsid w:val="56B0619F"/>
    <w:rsid w:val="56B16CBD"/>
    <w:rsid w:val="56B3450E"/>
    <w:rsid w:val="56B96F66"/>
    <w:rsid w:val="56BE75C0"/>
    <w:rsid w:val="56C12AE4"/>
    <w:rsid w:val="56C71CAD"/>
    <w:rsid w:val="56CB6227"/>
    <w:rsid w:val="56CD63CA"/>
    <w:rsid w:val="56CE5F20"/>
    <w:rsid w:val="56D1338D"/>
    <w:rsid w:val="56D31AC8"/>
    <w:rsid w:val="56D6003D"/>
    <w:rsid w:val="56DA3EBA"/>
    <w:rsid w:val="56DC20EA"/>
    <w:rsid w:val="56DE40C5"/>
    <w:rsid w:val="56E33383"/>
    <w:rsid w:val="56E81DBE"/>
    <w:rsid w:val="56EA65D6"/>
    <w:rsid w:val="56ED5E03"/>
    <w:rsid w:val="56F456C1"/>
    <w:rsid w:val="56FB0134"/>
    <w:rsid w:val="56FC2728"/>
    <w:rsid w:val="570044FC"/>
    <w:rsid w:val="57012351"/>
    <w:rsid w:val="57095761"/>
    <w:rsid w:val="571777C3"/>
    <w:rsid w:val="571B1F7E"/>
    <w:rsid w:val="571D34AC"/>
    <w:rsid w:val="571F270E"/>
    <w:rsid w:val="57284B98"/>
    <w:rsid w:val="57292292"/>
    <w:rsid w:val="572E4793"/>
    <w:rsid w:val="572E7E52"/>
    <w:rsid w:val="57315E6B"/>
    <w:rsid w:val="573403E6"/>
    <w:rsid w:val="573459F0"/>
    <w:rsid w:val="573B3910"/>
    <w:rsid w:val="574460A0"/>
    <w:rsid w:val="57484376"/>
    <w:rsid w:val="5748483A"/>
    <w:rsid w:val="574B4B12"/>
    <w:rsid w:val="574C616E"/>
    <w:rsid w:val="574F71ED"/>
    <w:rsid w:val="575425F9"/>
    <w:rsid w:val="575430BB"/>
    <w:rsid w:val="575A2017"/>
    <w:rsid w:val="575C5FBB"/>
    <w:rsid w:val="57685F5D"/>
    <w:rsid w:val="57692A18"/>
    <w:rsid w:val="576D6DDF"/>
    <w:rsid w:val="57702374"/>
    <w:rsid w:val="5774694B"/>
    <w:rsid w:val="57780ED4"/>
    <w:rsid w:val="577E3A90"/>
    <w:rsid w:val="57886A0D"/>
    <w:rsid w:val="57896321"/>
    <w:rsid w:val="578B78A1"/>
    <w:rsid w:val="57903D73"/>
    <w:rsid w:val="57955219"/>
    <w:rsid w:val="579A7C07"/>
    <w:rsid w:val="579F309F"/>
    <w:rsid w:val="57A46FEE"/>
    <w:rsid w:val="57AA5A5F"/>
    <w:rsid w:val="57AF7168"/>
    <w:rsid w:val="57B02763"/>
    <w:rsid w:val="57B6547E"/>
    <w:rsid w:val="57BC7C9C"/>
    <w:rsid w:val="57BE4E98"/>
    <w:rsid w:val="57BF5603"/>
    <w:rsid w:val="57BF6387"/>
    <w:rsid w:val="57C77A65"/>
    <w:rsid w:val="57D01AAC"/>
    <w:rsid w:val="57D05855"/>
    <w:rsid w:val="57D1117F"/>
    <w:rsid w:val="57DA0D38"/>
    <w:rsid w:val="57DD4E33"/>
    <w:rsid w:val="57DE0A52"/>
    <w:rsid w:val="57DE3AFC"/>
    <w:rsid w:val="57DF6500"/>
    <w:rsid w:val="57E143B6"/>
    <w:rsid w:val="57E60B9B"/>
    <w:rsid w:val="57E73B61"/>
    <w:rsid w:val="57ED134E"/>
    <w:rsid w:val="57F01737"/>
    <w:rsid w:val="57F316B2"/>
    <w:rsid w:val="57F73696"/>
    <w:rsid w:val="57FA3FC4"/>
    <w:rsid w:val="58005923"/>
    <w:rsid w:val="5803475B"/>
    <w:rsid w:val="580A6FBE"/>
    <w:rsid w:val="580F0825"/>
    <w:rsid w:val="580F5BC1"/>
    <w:rsid w:val="58153B58"/>
    <w:rsid w:val="581C6E66"/>
    <w:rsid w:val="58222A6D"/>
    <w:rsid w:val="5822786C"/>
    <w:rsid w:val="58243371"/>
    <w:rsid w:val="58293CFC"/>
    <w:rsid w:val="58302962"/>
    <w:rsid w:val="5835010B"/>
    <w:rsid w:val="583C0D03"/>
    <w:rsid w:val="58434BAC"/>
    <w:rsid w:val="58462B56"/>
    <w:rsid w:val="5846366F"/>
    <w:rsid w:val="584654C9"/>
    <w:rsid w:val="58470241"/>
    <w:rsid w:val="58481E8A"/>
    <w:rsid w:val="58484F55"/>
    <w:rsid w:val="584C65D6"/>
    <w:rsid w:val="584D1D04"/>
    <w:rsid w:val="58514445"/>
    <w:rsid w:val="58563BF0"/>
    <w:rsid w:val="58590DD2"/>
    <w:rsid w:val="5863473D"/>
    <w:rsid w:val="586C2A31"/>
    <w:rsid w:val="586E1447"/>
    <w:rsid w:val="58766ECF"/>
    <w:rsid w:val="5878285F"/>
    <w:rsid w:val="58785165"/>
    <w:rsid w:val="587E2D46"/>
    <w:rsid w:val="588509DD"/>
    <w:rsid w:val="588D555E"/>
    <w:rsid w:val="58937684"/>
    <w:rsid w:val="58953B9F"/>
    <w:rsid w:val="58957A8C"/>
    <w:rsid w:val="589968A1"/>
    <w:rsid w:val="589C0BA1"/>
    <w:rsid w:val="589F18E4"/>
    <w:rsid w:val="58A26665"/>
    <w:rsid w:val="58A948C8"/>
    <w:rsid w:val="58AE1E40"/>
    <w:rsid w:val="58B156C4"/>
    <w:rsid w:val="58B47394"/>
    <w:rsid w:val="58B80220"/>
    <w:rsid w:val="58B8443B"/>
    <w:rsid w:val="58B92428"/>
    <w:rsid w:val="58BC4002"/>
    <w:rsid w:val="58C47A68"/>
    <w:rsid w:val="58C6178A"/>
    <w:rsid w:val="58C77385"/>
    <w:rsid w:val="58CF1828"/>
    <w:rsid w:val="58D720A4"/>
    <w:rsid w:val="58DB456A"/>
    <w:rsid w:val="58E2288E"/>
    <w:rsid w:val="58E56245"/>
    <w:rsid w:val="58E909DD"/>
    <w:rsid w:val="58EB1C90"/>
    <w:rsid w:val="58EE536D"/>
    <w:rsid w:val="58F57D12"/>
    <w:rsid w:val="59094784"/>
    <w:rsid w:val="59255E05"/>
    <w:rsid w:val="59267EF0"/>
    <w:rsid w:val="59287A6A"/>
    <w:rsid w:val="592C2EB2"/>
    <w:rsid w:val="59376E4C"/>
    <w:rsid w:val="59421F7E"/>
    <w:rsid w:val="59424509"/>
    <w:rsid w:val="594935F2"/>
    <w:rsid w:val="594C2750"/>
    <w:rsid w:val="59511A55"/>
    <w:rsid w:val="59595860"/>
    <w:rsid w:val="595C0946"/>
    <w:rsid w:val="59604A5E"/>
    <w:rsid w:val="59642A7A"/>
    <w:rsid w:val="59655357"/>
    <w:rsid w:val="596957AE"/>
    <w:rsid w:val="596D32B4"/>
    <w:rsid w:val="596F5485"/>
    <w:rsid w:val="5974082A"/>
    <w:rsid w:val="59774D3E"/>
    <w:rsid w:val="597C00C4"/>
    <w:rsid w:val="598635D7"/>
    <w:rsid w:val="599148CE"/>
    <w:rsid w:val="59946630"/>
    <w:rsid w:val="599A1291"/>
    <w:rsid w:val="599E418E"/>
    <w:rsid w:val="599F75D4"/>
    <w:rsid w:val="59A22883"/>
    <w:rsid w:val="59A24ED6"/>
    <w:rsid w:val="59AE5EC5"/>
    <w:rsid w:val="59AF0514"/>
    <w:rsid w:val="59B6531E"/>
    <w:rsid w:val="59B75E8A"/>
    <w:rsid w:val="59B8561E"/>
    <w:rsid w:val="59BC0F73"/>
    <w:rsid w:val="59BD2911"/>
    <w:rsid w:val="59BE1CC3"/>
    <w:rsid w:val="59C13A26"/>
    <w:rsid w:val="59C23D49"/>
    <w:rsid w:val="59C91BF3"/>
    <w:rsid w:val="59CB73DC"/>
    <w:rsid w:val="59D02E4C"/>
    <w:rsid w:val="59D906FD"/>
    <w:rsid w:val="59D96DAD"/>
    <w:rsid w:val="59DA6C9E"/>
    <w:rsid w:val="59E11C9B"/>
    <w:rsid w:val="59E143BA"/>
    <w:rsid w:val="59E2737B"/>
    <w:rsid w:val="59EB0D06"/>
    <w:rsid w:val="59F32024"/>
    <w:rsid w:val="59F44D39"/>
    <w:rsid w:val="59F511B7"/>
    <w:rsid w:val="59F92CC7"/>
    <w:rsid w:val="59FC2EE5"/>
    <w:rsid w:val="59FE191D"/>
    <w:rsid w:val="59FF2F18"/>
    <w:rsid w:val="5A0407DD"/>
    <w:rsid w:val="5A05470A"/>
    <w:rsid w:val="5A0640DE"/>
    <w:rsid w:val="5A1215B1"/>
    <w:rsid w:val="5A1D0AF2"/>
    <w:rsid w:val="5A1D5F5B"/>
    <w:rsid w:val="5A1E6A9C"/>
    <w:rsid w:val="5A1F5196"/>
    <w:rsid w:val="5A227353"/>
    <w:rsid w:val="5A265096"/>
    <w:rsid w:val="5A292273"/>
    <w:rsid w:val="5A2943A6"/>
    <w:rsid w:val="5A2A6592"/>
    <w:rsid w:val="5A2D0557"/>
    <w:rsid w:val="5A340B09"/>
    <w:rsid w:val="5A3F3527"/>
    <w:rsid w:val="5A402C97"/>
    <w:rsid w:val="5A440B9D"/>
    <w:rsid w:val="5A447FBD"/>
    <w:rsid w:val="5A4907B6"/>
    <w:rsid w:val="5A5128C3"/>
    <w:rsid w:val="5A525A46"/>
    <w:rsid w:val="5A5406EE"/>
    <w:rsid w:val="5A575C31"/>
    <w:rsid w:val="5A5A2DA4"/>
    <w:rsid w:val="5A5B1DED"/>
    <w:rsid w:val="5A5C7772"/>
    <w:rsid w:val="5A6169CB"/>
    <w:rsid w:val="5A632211"/>
    <w:rsid w:val="5A6336A1"/>
    <w:rsid w:val="5A65704E"/>
    <w:rsid w:val="5A6B7C88"/>
    <w:rsid w:val="5A6F5AD1"/>
    <w:rsid w:val="5A73612A"/>
    <w:rsid w:val="5A784E1A"/>
    <w:rsid w:val="5A7C1DA4"/>
    <w:rsid w:val="5A7F6F98"/>
    <w:rsid w:val="5A8F76C1"/>
    <w:rsid w:val="5A921A04"/>
    <w:rsid w:val="5A99558C"/>
    <w:rsid w:val="5A9A0A66"/>
    <w:rsid w:val="5AA541CF"/>
    <w:rsid w:val="5AAF48E4"/>
    <w:rsid w:val="5AB37B5F"/>
    <w:rsid w:val="5AB96041"/>
    <w:rsid w:val="5ABC4831"/>
    <w:rsid w:val="5ABC6BFA"/>
    <w:rsid w:val="5ABF01E8"/>
    <w:rsid w:val="5ABF7466"/>
    <w:rsid w:val="5AC05747"/>
    <w:rsid w:val="5AC366EB"/>
    <w:rsid w:val="5AC43AE0"/>
    <w:rsid w:val="5AC4427C"/>
    <w:rsid w:val="5AC75010"/>
    <w:rsid w:val="5AC76ACB"/>
    <w:rsid w:val="5AD054B7"/>
    <w:rsid w:val="5AD149C0"/>
    <w:rsid w:val="5AD20D04"/>
    <w:rsid w:val="5AD510F0"/>
    <w:rsid w:val="5AD822B6"/>
    <w:rsid w:val="5AD86DAA"/>
    <w:rsid w:val="5AF341EB"/>
    <w:rsid w:val="5AF405C5"/>
    <w:rsid w:val="5AF82FCA"/>
    <w:rsid w:val="5AF8657A"/>
    <w:rsid w:val="5AFA42E0"/>
    <w:rsid w:val="5AFE5C3F"/>
    <w:rsid w:val="5AFF4835"/>
    <w:rsid w:val="5B000850"/>
    <w:rsid w:val="5B0C6EB5"/>
    <w:rsid w:val="5B152C30"/>
    <w:rsid w:val="5B187495"/>
    <w:rsid w:val="5B1945A0"/>
    <w:rsid w:val="5B1A2A0F"/>
    <w:rsid w:val="5B1B10FA"/>
    <w:rsid w:val="5B1B5003"/>
    <w:rsid w:val="5B225A79"/>
    <w:rsid w:val="5B2445B5"/>
    <w:rsid w:val="5B2559CC"/>
    <w:rsid w:val="5B2A41C4"/>
    <w:rsid w:val="5B2B5E52"/>
    <w:rsid w:val="5B2D2620"/>
    <w:rsid w:val="5B3E0A56"/>
    <w:rsid w:val="5B431363"/>
    <w:rsid w:val="5B432946"/>
    <w:rsid w:val="5B492D29"/>
    <w:rsid w:val="5B494C21"/>
    <w:rsid w:val="5B4C3725"/>
    <w:rsid w:val="5B532679"/>
    <w:rsid w:val="5B570BDE"/>
    <w:rsid w:val="5B59179A"/>
    <w:rsid w:val="5B5B64C5"/>
    <w:rsid w:val="5B5F2FE4"/>
    <w:rsid w:val="5B6207A7"/>
    <w:rsid w:val="5B627DC7"/>
    <w:rsid w:val="5B63287C"/>
    <w:rsid w:val="5B6C5737"/>
    <w:rsid w:val="5B7178CA"/>
    <w:rsid w:val="5B763263"/>
    <w:rsid w:val="5B766C60"/>
    <w:rsid w:val="5B853B9F"/>
    <w:rsid w:val="5B896F76"/>
    <w:rsid w:val="5B8F287C"/>
    <w:rsid w:val="5B901200"/>
    <w:rsid w:val="5B9319B5"/>
    <w:rsid w:val="5B96407F"/>
    <w:rsid w:val="5B975E5B"/>
    <w:rsid w:val="5B9C0984"/>
    <w:rsid w:val="5B9D5FB0"/>
    <w:rsid w:val="5B9F377A"/>
    <w:rsid w:val="5BA65080"/>
    <w:rsid w:val="5BA76A78"/>
    <w:rsid w:val="5BB214B7"/>
    <w:rsid w:val="5BB424C4"/>
    <w:rsid w:val="5BB576AD"/>
    <w:rsid w:val="5BB6242D"/>
    <w:rsid w:val="5BB65985"/>
    <w:rsid w:val="5BB76EBD"/>
    <w:rsid w:val="5BBE6EBD"/>
    <w:rsid w:val="5BC02787"/>
    <w:rsid w:val="5BC23E64"/>
    <w:rsid w:val="5BC52B9A"/>
    <w:rsid w:val="5BCD45FD"/>
    <w:rsid w:val="5BCD6158"/>
    <w:rsid w:val="5BD41880"/>
    <w:rsid w:val="5BD627D7"/>
    <w:rsid w:val="5BE2289B"/>
    <w:rsid w:val="5BE23D1E"/>
    <w:rsid w:val="5BE24CD9"/>
    <w:rsid w:val="5BE50680"/>
    <w:rsid w:val="5BE52EE1"/>
    <w:rsid w:val="5BEA2231"/>
    <w:rsid w:val="5BF13412"/>
    <w:rsid w:val="5BF23EBC"/>
    <w:rsid w:val="5BF524ED"/>
    <w:rsid w:val="5BF53251"/>
    <w:rsid w:val="5BF65E64"/>
    <w:rsid w:val="5BFD4032"/>
    <w:rsid w:val="5BFF0C86"/>
    <w:rsid w:val="5C062E6E"/>
    <w:rsid w:val="5C087355"/>
    <w:rsid w:val="5C0C52E3"/>
    <w:rsid w:val="5C0C750E"/>
    <w:rsid w:val="5C0C796E"/>
    <w:rsid w:val="5C0D4DDD"/>
    <w:rsid w:val="5C0E435F"/>
    <w:rsid w:val="5C135532"/>
    <w:rsid w:val="5C1832F4"/>
    <w:rsid w:val="5C185468"/>
    <w:rsid w:val="5C1A3044"/>
    <w:rsid w:val="5C1D0C0F"/>
    <w:rsid w:val="5C2218F7"/>
    <w:rsid w:val="5C3A291C"/>
    <w:rsid w:val="5C3B2DCF"/>
    <w:rsid w:val="5C474C2E"/>
    <w:rsid w:val="5C494C6D"/>
    <w:rsid w:val="5C500AF8"/>
    <w:rsid w:val="5C517866"/>
    <w:rsid w:val="5C523483"/>
    <w:rsid w:val="5C5348B4"/>
    <w:rsid w:val="5C5E033F"/>
    <w:rsid w:val="5C6875EE"/>
    <w:rsid w:val="5C6B21CA"/>
    <w:rsid w:val="5C6F12DC"/>
    <w:rsid w:val="5C7A2919"/>
    <w:rsid w:val="5C82695D"/>
    <w:rsid w:val="5C84202F"/>
    <w:rsid w:val="5C8F19C2"/>
    <w:rsid w:val="5C9A6016"/>
    <w:rsid w:val="5CA57043"/>
    <w:rsid w:val="5CB157B0"/>
    <w:rsid w:val="5CBF4297"/>
    <w:rsid w:val="5CC43404"/>
    <w:rsid w:val="5CC93DAE"/>
    <w:rsid w:val="5CCF7073"/>
    <w:rsid w:val="5CD31EE3"/>
    <w:rsid w:val="5CE03F3E"/>
    <w:rsid w:val="5CE1654F"/>
    <w:rsid w:val="5CE47CF9"/>
    <w:rsid w:val="5CEB1D70"/>
    <w:rsid w:val="5CF45558"/>
    <w:rsid w:val="5CF70E19"/>
    <w:rsid w:val="5CFE4309"/>
    <w:rsid w:val="5D00730C"/>
    <w:rsid w:val="5D072BC8"/>
    <w:rsid w:val="5D076525"/>
    <w:rsid w:val="5D094AA1"/>
    <w:rsid w:val="5D0A3A75"/>
    <w:rsid w:val="5D0C1CFA"/>
    <w:rsid w:val="5D0C3DBD"/>
    <w:rsid w:val="5D19384D"/>
    <w:rsid w:val="5D22473A"/>
    <w:rsid w:val="5D237B4C"/>
    <w:rsid w:val="5D2B5629"/>
    <w:rsid w:val="5D301CD3"/>
    <w:rsid w:val="5D315CEB"/>
    <w:rsid w:val="5D326462"/>
    <w:rsid w:val="5D3926A3"/>
    <w:rsid w:val="5D3B59DF"/>
    <w:rsid w:val="5D3C59F3"/>
    <w:rsid w:val="5D473075"/>
    <w:rsid w:val="5D475E41"/>
    <w:rsid w:val="5D4822EE"/>
    <w:rsid w:val="5D4C5595"/>
    <w:rsid w:val="5D5864DB"/>
    <w:rsid w:val="5D6F03C1"/>
    <w:rsid w:val="5D702EEF"/>
    <w:rsid w:val="5D73393B"/>
    <w:rsid w:val="5D76353B"/>
    <w:rsid w:val="5D77731A"/>
    <w:rsid w:val="5D784379"/>
    <w:rsid w:val="5D7B3457"/>
    <w:rsid w:val="5D820C77"/>
    <w:rsid w:val="5D826C13"/>
    <w:rsid w:val="5D8428C5"/>
    <w:rsid w:val="5D8B2715"/>
    <w:rsid w:val="5D8D250E"/>
    <w:rsid w:val="5D8D5687"/>
    <w:rsid w:val="5D8F399C"/>
    <w:rsid w:val="5D8F6111"/>
    <w:rsid w:val="5D915AFD"/>
    <w:rsid w:val="5D9404A9"/>
    <w:rsid w:val="5D9A23F4"/>
    <w:rsid w:val="5D9F6617"/>
    <w:rsid w:val="5D9F7C74"/>
    <w:rsid w:val="5DA063A0"/>
    <w:rsid w:val="5DAE2E8C"/>
    <w:rsid w:val="5DAE7F34"/>
    <w:rsid w:val="5DB42E5D"/>
    <w:rsid w:val="5DB65502"/>
    <w:rsid w:val="5DB906BB"/>
    <w:rsid w:val="5DC41A63"/>
    <w:rsid w:val="5DD70750"/>
    <w:rsid w:val="5DE44DF4"/>
    <w:rsid w:val="5DED4540"/>
    <w:rsid w:val="5E00720B"/>
    <w:rsid w:val="5E012896"/>
    <w:rsid w:val="5E050903"/>
    <w:rsid w:val="5E0825B2"/>
    <w:rsid w:val="5E0951B5"/>
    <w:rsid w:val="5E0A6049"/>
    <w:rsid w:val="5E156B70"/>
    <w:rsid w:val="5E1574AD"/>
    <w:rsid w:val="5E1822E9"/>
    <w:rsid w:val="5E21165A"/>
    <w:rsid w:val="5E214E1E"/>
    <w:rsid w:val="5E226508"/>
    <w:rsid w:val="5E2368B5"/>
    <w:rsid w:val="5E261D69"/>
    <w:rsid w:val="5E344390"/>
    <w:rsid w:val="5E3524E9"/>
    <w:rsid w:val="5E352EB6"/>
    <w:rsid w:val="5E400BF0"/>
    <w:rsid w:val="5E4250B0"/>
    <w:rsid w:val="5E4A3E88"/>
    <w:rsid w:val="5E4E539E"/>
    <w:rsid w:val="5E5B2B5A"/>
    <w:rsid w:val="5E5F0687"/>
    <w:rsid w:val="5E620763"/>
    <w:rsid w:val="5E6454D9"/>
    <w:rsid w:val="5E680BE8"/>
    <w:rsid w:val="5E6B7FF0"/>
    <w:rsid w:val="5E783202"/>
    <w:rsid w:val="5E7842EE"/>
    <w:rsid w:val="5E7A1A68"/>
    <w:rsid w:val="5E803D55"/>
    <w:rsid w:val="5E854DAE"/>
    <w:rsid w:val="5E88203D"/>
    <w:rsid w:val="5EA36A9B"/>
    <w:rsid w:val="5EA42C37"/>
    <w:rsid w:val="5EA648E2"/>
    <w:rsid w:val="5EA71C01"/>
    <w:rsid w:val="5EB24CFE"/>
    <w:rsid w:val="5EB32415"/>
    <w:rsid w:val="5EB52E6F"/>
    <w:rsid w:val="5EBD2EAA"/>
    <w:rsid w:val="5EC37A1E"/>
    <w:rsid w:val="5EC94A60"/>
    <w:rsid w:val="5ED95EEE"/>
    <w:rsid w:val="5EE55DDE"/>
    <w:rsid w:val="5EF04AC4"/>
    <w:rsid w:val="5EF47473"/>
    <w:rsid w:val="5EFE064F"/>
    <w:rsid w:val="5F061DE5"/>
    <w:rsid w:val="5F09081F"/>
    <w:rsid w:val="5F0B5BA1"/>
    <w:rsid w:val="5F1111AD"/>
    <w:rsid w:val="5F121A0D"/>
    <w:rsid w:val="5F1B27DE"/>
    <w:rsid w:val="5F243C26"/>
    <w:rsid w:val="5F2B4891"/>
    <w:rsid w:val="5F2C64A1"/>
    <w:rsid w:val="5F39582E"/>
    <w:rsid w:val="5F3C1D82"/>
    <w:rsid w:val="5F4041F2"/>
    <w:rsid w:val="5F405CF4"/>
    <w:rsid w:val="5F45602C"/>
    <w:rsid w:val="5F4626BE"/>
    <w:rsid w:val="5F4632C4"/>
    <w:rsid w:val="5F482400"/>
    <w:rsid w:val="5F4A58A7"/>
    <w:rsid w:val="5F4B2546"/>
    <w:rsid w:val="5F520EFF"/>
    <w:rsid w:val="5F527FC9"/>
    <w:rsid w:val="5F531ECF"/>
    <w:rsid w:val="5F57147C"/>
    <w:rsid w:val="5F587105"/>
    <w:rsid w:val="5F5879D8"/>
    <w:rsid w:val="5F6028D5"/>
    <w:rsid w:val="5F61415F"/>
    <w:rsid w:val="5F646936"/>
    <w:rsid w:val="5F7202DD"/>
    <w:rsid w:val="5F7602E5"/>
    <w:rsid w:val="5F764A5E"/>
    <w:rsid w:val="5F7D66DE"/>
    <w:rsid w:val="5F810033"/>
    <w:rsid w:val="5F844DC9"/>
    <w:rsid w:val="5F8806B8"/>
    <w:rsid w:val="5F8B53D4"/>
    <w:rsid w:val="5F8C52DB"/>
    <w:rsid w:val="5F8D7479"/>
    <w:rsid w:val="5F8E4E13"/>
    <w:rsid w:val="5F8E7B88"/>
    <w:rsid w:val="5F9005B9"/>
    <w:rsid w:val="5F9175F2"/>
    <w:rsid w:val="5F966692"/>
    <w:rsid w:val="5F99467F"/>
    <w:rsid w:val="5FA00A10"/>
    <w:rsid w:val="5FA055A4"/>
    <w:rsid w:val="5FA4374A"/>
    <w:rsid w:val="5FA4380A"/>
    <w:rsid w:val="5FA4668F"/>
    <w:rsid w:val="5FA5501A"/>
    <w:rsid w:val="5FAB674F"/>
    <w:rsid w:val="5FB25387"/>
    <w:rsid w:val="5FBF3440"/>
    <w:rsid w:val="5FC53509"/>
    <w:rsid w:val="5FCC5D9F"/>
    <w:rsid w:val="5FD20829"/>
    <w:rsid w:val="5FD51F0D"/>
    <w:rsid w:val="5FD526EA"/>
    <w:rsid w:val="5FDA515F"/>
    <w:rsid w:val="5FE73834"/>
    <w:rsid w:val="5FEB0680"/>
    <w:rsid w:val="5FF744A9"/>
    <w:rsid w:val="5FF76947"/>
    <w:rsid w:val="5FFB17C7"/>
    <w:rsid w:val="5FFE6C22"/>
    <w:rsid w:val="60000309"/>
    <w:rsid w:val="6007630E"/>
    <w:rsid w:val="600B6B90"/>
    <w:rsid w:val="600C3224"/>
    <w:rsid w:val="600F6605"/>
    <w:rsid w:val="60143AD3"/>
    <w:rsid w:val="60281FCD"/>
    <w:rsid w:val="602876AC"/>
    <w:rsid w:val="602D6A03"/>
    <w:rsid w:val="603215F4"/>
    <w:rsid w:val="603771DA"/>
    <w:rsid w:val="603A1B77"/>
    <w:rsid w:val="60447E31"/>
    <w:rsid w:val="604C5236"/>
    <w:rsid w:val="605006BC"/>
    <w:rsid w:val="60584E5C"/>
    <w:rsid w:val="606162D0"/>
    <w:rsid w:val="60674769"/>
    <w:rsid w:val="606F545C"/>
    <w:rsid w:val="607079E9"/>
    <w:rsid w:val="60734371"/>
    <w:rsid w:val="607761FD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A0440C"/>
    <w:rsid w:val="60B71C66"/>
    <w:rsid w:val="60B77B1A"/>
    <w:rsid w:val="60BA0952"/>
    <w:rsid w:val="60BD0F4B"/>
    <w:rsid w:val="60C02A5F"/>
    <w:rsid w:val="60C03CB2"/>
    <w:rsid w:val="60C43BAB"/>
    <w:rsid w:val="60C5483E"/>
    <w:rsid w:val="60C566E2"/>
    <w:rsid w:val="60C8473F"/>
    <w:rsid w:val="60C867C5"/>
    <w:rsid w:val="60D3354A"/>
    <w:rsid w:val="60D4561F"/>
    <w:rsid w:val="60D67E78"/>
    <w:rsid w:val="60DB0800"/>
    <w:rsid w:val="60DE0DB6"/>
    <w:rsid w:val="60E25F60"/>
    <w:rsid w:val="60E506DB"/>
    <w:rsid w:val="60E50AB6"/>
    <w:rsid w:val="60E54273"/>
    <w:rsid w:val="60E62D95"/>
    <w:rsid w:val="60F46839"/>
    <w:rsid w:val="60F57D45"/>
    <w:rsid w:val="60FB7A98"/>
    <w:rsid w:val="61027740"/>
    <w:rsid w:val="61034098"/>
    <w:rsid w:val="61067A64"/>
    <w:rsid w:val="61093C77"/>
    <w:rsid w:val="610C7D1D"/>
    <w:rsid w:val="610F0CDA"/>
    <w:rsid w:val="61105E47"/>
    <w:rsid w:val="6112529A"/>
    <w:rsid w:val="611A085E"/>
    <w:rsid w:val="611A7B15"/>
    <w:rsid w:val="611C59F7"/>
    <w:rsid w:val="611F0B09"/>
    <w:rsid w:val="61200AAF"/>
    <w:rsid w:val="612D2321"/>
    <w:rsid w:val="612F769F"/>
    <w:rsid w:val="613964B7"/>
    <w:rsid w:val="61397D74"/>
    <w:rsid w:val="61455CF4"/>
    <w:rsid w:val="61466898"/>
    <w:rsid w:val="61512409"/>
    <w:rsid w:val="615B2659"/>
    <w:rsid w:val="615E36E9"/>
    <w:rsid w:val="615E3F04"/>
    <w:rsid w:val="61640358"/>
    <w:rsid w:val="61676068"/>
    <w:rsid w:val="616B25D0"/>
    <w:rsid w:val="616C1663"/>
    <w:rsid w:val="616E223F"/>
    <w:rsid w:val="61703031"/>
    <w:rsid w:val="617305C5"/>
    <w:rsid w:val="61751F59"/>
    <w:rsid w:val="617915C1"/>
    <w:rsid w:val="617C28AF"/>
    <w:rsid w:val="61843F91"/>
    <w:rsid w:val="618520A4"/>
    <w:rsid w:val="618A6058"/>
    <w:rsid w:val="61963257"/>
    <w:rsid w:val="6196670E"/>
    <w:rsid w:val="61972737"/>
    <w:rsid w:val="619C38B4"/>
    <w:rsid w:val="61A4486B"/>
    <w:rsid w:val="61B33DDF"/>
    <w:rsid w:val="61BB4A1B"/>
    <w:rsid w:val="61BB5A23"/>
    <w:rsid w:val="61BC23E5"/>
    <w:rsid w:val="61C051B3"/>
    <w:rsid w:val="61CD3107"/>
    <w:rsid w:val="61D17319"/>
    <w:rsid w:val="61D21120"/>
    <w:rsid w:val="61D64F2E"/>
    <w:rsid w:val="61D75E5D"/>
    <w:rsid w:val="61DA0E79"/>
    <w:rsid w:val="61E728F9"/>
    <w:rsid w:val="61F3667F"/>
    <w:rsid w:val="61F43F82"/>
    <w:rsid w:val="61F67369"/>
    <w:rsid w:val="61FB110C"/>
    <w:rsid w:val="61FB56BF"/>
    <w:rsid w:val="620A5B4D"/>
    <w:rsid w:val="620B2B74"/>
    <w:rsid w:val="6210415F"/>
    <w:rsid w:val="62135137"/>
    <w:rsid w:val="62185165"/>
    <w:rsid w:val="621D66D4"/>
    <w:rsid w:val="62202586"/>
    <w:rsid w:val="62220209"/>
    <w:rsid w:val="622D780A"/>
    <w:rsid w:val="622E2CF4"/>
    <w:rsid w:val="622F5ABF"/>
    <w:rsid w:val="623D0C68"/>
    <w:rsid w:val="623F3C2D"/>
    <w:rsid w:val="62460FCD"/>
    <w:rsid w:val="62480FF0"/>
    <w:rsid w:val="62481D61"/>
    <w:rsid w:val="624B14C1"/>
    <w:rsid w:val="624C02FE"/>
    <w:rsid w:val="624F0394"/>
    <w:rsid w:val="62590ABF"/>
    <w:rsid w:val="625A29D8"/>
    <w:rsid w:val="625B2CDA"/>
    <w:rsid w:val="625B47C2"/>
    <w:rsid w:val="625B79FF"/>
    <w:rsid w:val="625F6E6C"/>
    <w:rsid w:val="62624625"/>
    <w:rsid w:val="62630C6B"/>
    <w:rsid w:val="626C1BC9"/>
    <w:rsid w:val="627301E8"/>
    <w:rsid w:val="627369C7"/>
    <w:rsid w:val="62920187"/>
    <w:rsid w:val="6295194F"/>
    <w:rsid w:val="6299295E"/>
    <w:rsid w:val="629A07BC"/>
    <w:rsid w:val="629D61D1"/>
    <w:rsid w:val="62A24E62"/>
    <w:rsid w:val="62A33CA7"/>
    <w:rsid w:val="62A36C5E"/>
    <w:rsid w:val="62B63055"/>
    <w:rsid w:val="62B754A9"/>
    <w:rsid w:val="62B94634"/>
    <w:rsid w:val="62BA3B2B"/>
    <w:rsid w:val="62C37511"/>
    <w:rsid w:val="62C5286D"/>
    <w:rsid w:val="62C666F6"/>
    <w:rsid w:val="62CB49A1"/>
    <w:rsid w:val="62D11C3F"/>
    <w:rsid w:val="62D35D1C"/>
    <w:rsid w:val="62D67D61"/>
    <w:rsid w:val="62D777AF"/>
    <w:rsid w:val="62E157FC"/>
    <w:rsid w:val="62E81148"/>
    <w:rsid w:val="62E83A0D"/>
    <w:rsid w:val="62F76986"/>
    <w:rsid w:val="62FA3D7F"/>
    <w:rsid w:val="62FF21FD"/>
    <w:rsid w:val="63074CE8"/>
    <w:rsid w:val="631138B2"/>
    <w:rsid w:val="631360BB"/>
    <w:rsid w:val="63195F7A"/>
    <w:rsid w:val="631C3A36"/>
    <w:rsid w:val="63212420"/>
    <w:rsid w:val="63214DAF"/>
    <w:rsid w:val="632528E5"/>
    <w:rsid w:val="632548A2"/>
    <w:rsid w:val="632936A9"/>
    <w:rsid w:val="632D6DAA"/>
    <w:rsid w:val="632E0749"/>
    <w:rsid w:val="632F06D8"/>
    <w:rsid w:val="63311536"/>
    <w:rsid w:val="63317698"/>
    <w:rsid w:val="63340EAE"/>
    <w:rsid w:val="63403F5C"/>
    <w:rsid w:val="634331FC"/>
    <w:rsid w:val="63443DC2"/>
    <w:rsid w:val="63466E18"/>
    <w:rsid w:val="634B6A95"/>
    <w:rsid w:val="634F6CB9"/>
    <w:rsid w:val="63555A9A"/>
    <w:rsid w:val="63584B3D"/>
    <w:rsid w:val="635E6984"/>
    <w:rsid w:val="635F50A8"/>
    <w:rsid w:val="63615D3E"/>
    <w:rsid w:val="6367139B"/>
    <w:rsid w:val="63683422"/>
    <w:rsid w:val="636C62BA"/>
    <w:rsid w:val="63710BA6"/>
    <w:rsid w:val="637346BC"/>
    <w:rsid w:val="637D75E6"/>
    <w:rsid w:val="63821D61"/>
    <w:rsid w:val="63827E36"/>
    <w:rsid w:val="63842477"/>
    <w:rsid w:val="638823F9"/>
    <w:rsid w:val="63891BA5"/>
    <w:rsid w:val="638B04D2"/>
    <w:rsid w:val="63912AB2"/>
    <w:rsid w:val="639A118D"/>
    <w:rsid w:val="639B7C08"/>
    <w:rsid w:val="63A13147"/>
    <w:rsid w:val="63A177A7"/>
    <w:rsid w:val="63A76A3F"/>
    <w:rsid w:val="63A85CD1"/>
    <w:rsid w:val="63AB2A39"/>
    <w:rsid w:val="63B02C42"/>
    <w:rsid w:val="63C51AD9"/>
    <w:rsid w:val="63C54411"/>
    <w:rsid w:val="63C733FE"/>
    <w:rsid w:val="63C9048D"/>
    <w:rsid w:val="63CD27C8"/>
    <w:rsid w:val="63CD4C2D"/>
    <w:rsid w:val="63CF2629"/>
    <w:rsid w:val="63D07AD2"/>
    <w:rsid w:val="63D40E51"/>
    <w:rsid w:val="63D52E6F"/>
    <w:rsid w:val="63D85FCA"/>
    <w:rsid w:val="63E263F4"/>
    <w:rsid w:val="63E418C9"/>
    <w:rsid w:val="63F55755"/>
    <w:rsid w:val="63F77BBC"/>
    <w:rsid w:val="63FB6EC6"/>
    <w:rsid w:val="63FD7654"/>
    <w:rsid w:val="640A7217"/>
    <w:rsid w:val="640C2BB6"/>
    <w:rsid w:val="6411454E"/>
    <w:rsid w:val="64225C1C"/>
    <w:rsid w:val="642437E9"/>
    <w:rsid w:val="64340283"/>
    <w:rsid w:val="64340FCD"/>
    <w:rsid w:val="64377182"/>
    <w:rsid w:val="643B7181"/>
    <w:rsid w:val="643E4883"/>
    <w:rsid w:val="643F3FFC"/>
    <w:rsid w:val="644A69BC"/>
    <w:rsid w:val="644C372C"/>
    <w:rsid w:val="64521327"/>
    <w:rsid w:val="645256C0"/>
    <w:rsid w:val="645B5DC0"/>
    <w:rsid w:val="645D3A6B"/>
    <w:rsid w:val="64613F6F"/>
    <w:rsid w:val="646310B8"/>
    <w:rsid w:val="64633CC7"/>
    <w:rsid w:val="646A06E2"/>
    <w:rsid w:val="646C4EF1"/>
    <w:rsid w:val="646C4FB8"/>
    <w:rsid w:val="646D2F37"/>
    <w:rsid w:val="64706C6F"/>
    <w:rsid w:val="6471159B"/>
    <w:rsid w:val="64814078"/>
    <w:rsid w:val="6483791E"/>
    <w:rsid w:val="648B777B"/>
    <w:rsid w:val="64937D17"/>
    <w:rsid w:val="6494650D"/>
    <w:rsid w:val="64984C13"/>
    <w:rsid w:val="649A6134"/>
    <w:rsid w:val="649D2569"/>
    <w:rsid w:val="64A157DA"/>
    <w:rsid w:val="64A32650"/>
    <w:rsid w:val="64A51362"/>
    <w:rsid w:val="64A55A03"/>
    <w:rsid w:val="64A62D1B"/>
    <w:rsid w:val="64A860F2"/>
    <w:rsid w:val="64AC1350"/>
    <w:rsid w:val="64AD4200"/>
    <w:rsid w:val="64AF09FF"/>
    <w:rsid w:val="64B453B1"/>
    <w:rsid w:val="64BE5702"/>
    <w:rsid w:val="64C048B9"/>
    <w:rsid w:val="64C16289"/>
    <w:rsid w:val="64CF05E4"/>
    <w:rsid w:val="64CF1E41"/>
    <w:rsid w:val="64D32645"/>
    <w:rsid w:val="64D81CB8"/>
    <w:rsid w:val="64D93F02"/>
    <w:rsid w:val="64DF1E48"/>
    <w:rsid w:val="64E52880"/>
    <w:rsid w:val="64E5543E"/>
    <w:rsid w:val="64E76F6D"/>
    <w:rsid w:val="64EA4517"/>
    <w:rsid w:val="64FC561C"/>
    <w:rsid w:val="64FC687A"/>
    <w:rsid w:val="64FE0E31"/>
    <w:rsid w:val="650F5743"/>
    <w:rsid w:val="65181463"/>
    <w:rsid w:val="651A5C6A"/>
    <w:rsid w:val="651C38DB"/>
    <w:rsid w:val="651E7E36"/>
    <w:rsid w:val="65201F4F"/>
    <w:rsid w:val="65204394"/>
    <w:rsid w:val="652133D2"/>
    <w:rsid w:val="6522790C"/>
    <w:rsid w:val="652A11D7"/>
    <w:rsid w:val="652C76EF"/>
    <w:rsid w:val="652D6A57"/>
    <w:rsid w:val="653B41A7"/>
    <w:rsid w:val="653E78B1"/>
    <w:rsid w:val="65403733"/>
    <w:rsid w:val="654066D8"/>
    <w:rsid w:val="65427957"/>
    <w:rsid w:val="65430291"/>
    <w:rsid w:val="654468BF"/>
    <w:rsid w:val="65485D1B"/>
    <w:rsid w:val="654D64C6"/>
    <w:rsid w:val="65503BB9"/>
    <w:rsid w:val="655754CB"/>
    <w:rsid w:val="655E2D72"/>
    <w:rsid w:val="655E2DA1"/>
    <w:rsid w:val="656171FC"/>
    <w:rsid w:val="65635CAF"/>
    <w:rsid w:val="65636611"/>
    <w:rsid w:val="656E4951"/>
    <w:rsid w:val="656F1A01"/>
    <w:rsid w:val="6570700F"/>
    <w:rsid w:val="6574303E"/>
    <w:rsid w:val="65755F0A"/>
    <w:rsid w:val="657F0CE6"/>
    <w:rsid w:val="65833C4F"/>
    <w:rsid w:val="658B37B6"/>
    <w:rsid w:val="658C2DCE"/>
    <w:rsid w:val="6590595E"/>
    <w:rsid w:val="65955D9F"/>
    <w:rsid w:val="65956477"/>
    <w:rsid w:val="65972789"/>
    <w:rsid w:val="659C17EE"/>
    <w:rsid w:val="65A65E7D"/>
    <w:rsid w:val="65AA2B3B"/>
    <w:rsid w:val="65B408AD"/>
    <w:rsid w:val="65BC6E17"/>
    <w:rsid w:val="65BD3777"/>
    <w:rsid w:val="65BE5ECC"/>
    <w:rsid w:val="65C4177D"/>
    <w:rsid w:val="65D43869"/>
    <w:rsid w:val="65D64BB3"/>
    <w:rsid w:val="65D70270"/>
    <w:rsid w:val="65E91B08"/>
    <w:rsid w:val="65F2016B"/>
    <w:rsid w:val="65F5725F"/>
    <w:rsid w:val="66032E7B"/>
    <w:rsid w:val="66053581"/>
    <w:rsid w:val="66087876"/>
    <w:rsid w:val="6609517F"/>
    <w:rsid w:val="660A19B0"/>
    <w:rsid w:val="660B3A10"/>
    <w:rsid w:val="661026AA"/>
    <w:rsid w:val="661207AA"/>
    <w:rsid w:val="661635F6"/>
    <w:rsid w:val="661D3F49"/>
    <w:rsid w:val="66213A5C"/>
    <w:rsid w:val="6624683A"/>
    <w:rsid w:val="66252267"/>
    <w:rsid w:val="662D2EA4"/>
    <w:rsid w:val="662F2BB7"/>
    <w:rsid w:val="6631571B"/>
    <w:rsid w:val="663D054E"/>
    <w:rsid w:val="66460692"/>
    <w:rsid w:val="6658158E"/>
    <w:rsid w:val="66631FDD"/>
    <w:rsid w:val="66634E10"/>
    <w:rsid w:val="66727620"/>
    <w:rsid w:val="66763EED"/>
    <w:rsid w:val="66782A0E"/>
    <w:rsid w:val="667930F9"/>
    <w:rsid w:val="6679372B"/>
    <w:rsid w:val="667B3C56"/>
    <w:rsid w:val="66822EA8"/>
    <w:rsid w:val="668358DD"/>
    <w:rsid w:val="668B6CBD"/>
    <w:rsid w:val="66953491"/>
    <w:rsid w:val="66980BF6"/>
    <w:rsid w:val="669C0543"/>
    <w:rsid w:val="66A27600"/>
    <w:rsid w:val="66A56CDB"/>
    <w:rsid w:val="66AC1D02"/>
    <w:rsid w:val="66AD65FC"/>
    <w:rsid w:val="66AD7F89"/>
    <w:rsid w:val="66AE57BC"/>
    <w:rsid w:val="66B81454"/>
    <w:rsid w:val="66BE1292"/>
    <w:rsid w:val="66BF76F1"/>
    <w:rsid w:val="66C72F6F"/>
    <w:rsid w:val="66CD4873"/>
    <w:rsid w:val="66D553C4"/>
    <w:rsid w:val="66D560FD"/>
    <w:rsid w:val="66D60A0F"/>
    <w:rsid w:val="66D61A8D"/>
    <w:rsid w:val="66DA3497"/>
    <w:rsid w:val="66DB5E77"/>
    <w:rsid w:val="66DC5BF8"/>
    <w:rsid w:val="66DD13D0"/>
    <w:rsid w:val="66E173F9"/>
    <w:rsid w:val="66E3226C"/>
    <w:rsid w:val="66E611A7"/>
    <w:rsid w:val="66E80EB0"/>
    <w:rsid w:val="66EC5E36"/>
    <w:rsid w:val="66F12AA5"/>
    <w:rsid w:val="66F569E1"/>
    <w:rsid w:val="66F76034"/>
    <w:rsid w:val="66FD7799"/>
    <w:rsid w:val="66FE15F4"/>
    <w:rsid w:val="67066C06"/>
    <w:rsid w:val="670673B0"/>
    <w:rsid w:val="670E7B80"/>
    <w:rsid w:val="671043C8"/>
    <w:rsid w:val="6713591F"/>
    <w:rsid w:val="67157F47"/>
    <w:rsid w:val="67181932"/>
    <w:rsid w:val="6726232E"/>
    <w:rsid w:val="672A4901"/>
    <w:rsid w:val="672E50FE"/>
    <w:rsid w:val="67331724"/>
    <w:rsid w:val="6733491A"/>
    <w:rsid w:val="673360E2"/>
    <w:rsid w:val="67346319"/>
    <w:rsid w:val="67441B08"/>
    <w:rsid w:val="674E2802"/>
    <w:rsid w:val="674F6E76"/>
    <w:rsid w:val="67513E69"/>
    <w:rsid w:val="675A0CA3"/>
    <w:rsid w:val="675A17FE"/>
    <w:rsid w:val="675D2F5C"/>
    <w:rsid w:val="675E5725"/>
    <w:rsid w:val="67617AF0"/>
    <w:rsid w:val="67627B2A"/>
    <w:rsid w:val="6768655A"/>
    <w:rsid w:val="676E1585"/>
    <w:rsid w:val="67775952"/>
    <w:rsid w:val="677C1FA7"/>
    <w:rsid w:val="677E2FA1"/>
    <w:rsid w:val="67825A15"/>
    <w:rsid w:val="67834615"/>
    <w:rsid w:val="67836FB1"/>
    <w:rsid w:val="678A12A7"/>
    <w:rsid w:val="678A44B2"/>
    <w:rsid w:val="678C1D52"/>
    <w:rsid w:val="678D19D7"/>
    <w:rsid w:val="67920C02"/>
    <w:rsid w:val="6792321C"/>
    <w:rsid w:val="67934263"/>
    <w:rsid w:val="67941515"/>
    <w:rsid w:val="67973403"/>
    <w:rsid w:val="67A45590"/>
    <w:rsid w:val="67A67078"/>
    <w:rsid w:val="67A7132F"/>
    <w:rsid w:val="67AC341B"/>
    <w:rsid w:val="67B10069"/>
    <w:rsid w:val="67B42C3D"/>
    <w:rsid w:val="67B6037E"/>
    <w:rsid w:val="67B861F9"/>
    <w:rsid w:val="67C149C0"/>
    <w:rsid w:val="67C7427D"/>
    <w:rsid w:val="67CA7967"/>
    <w:rsid w:val="67CC38C5"/>
    <w:rsid w:val="67D9695E"/>
    <w:rsid w:val="67DB5BED"/>
    <w:rsid w:val="67DC5CEA"/>
    <w:rsid w:val="67DF18A0"/>
    <w:rsid w:val="67E024C8"/>
    <w:rsid w:val="67E35B0A"/>
    <w:rsid w:val="67EA524A"/>
    <w:rsid w:val="67ED6F3F"/>
    <w:rsid w:val="67F0511C"/>
    <w:rsid w:val="67F5522D"/>
    <w:rsid w:val="67F73BC6"/>
    <w:rsid w:val="68042107"/>
    <w:rsid w:val="680965F8"/>
    <w:rsid w:val="680D4C45"/>
    <w:rsid w:val="680E4ECF"/>
    <w:rsid w:val="6811066C"/>
    <w:rsid w:val="68127886"/>
    <w:rsid w:val="68135F70"/>
    <w:rsid w:val="681778E7"/>
    <w:rsid w:val="681B5BF4"/>
    <w:rsid w:val="68240EAA"/>
    <w:rsid w:val="6825323C"/>
    <w:rsid w:val="682D20B0"/>
    <w:rsid w:val="68356624"/>
    <w:rsid w:val="68364404"/>
    <w:rsid w:val="683D75A2"/>
    <w:rsid w:val="683E1DD2"/>
    <w:rsid w:val="683F63B6"/>
    <w:rsid w:val="68436C4F"/>
    <w:rsid w:val="68451270"/>
    <w:rsid w:val="68460647"/>
    <w:rsid w:val="68495F2A"/>
    <w:rsid w:val="684F1282"/>
    <w:rsid w:val="6850356A"/>
    <w:rsid w:val="685465AC"/>
    <w:rsid w:val="68650339"/>
    <w:rsid w:val="68651915"/>
    <w:rsid w:val="68670AE1"/>
    <w:rsid w:val="68733F18"/>
    <w:rsid w:val="687442EE"/>
    <w:rsid w:val="68772A56"/>
    <w:rsid w:val="687C7996"/>
    <w:rsid w:val="687E1768"/>
    <w:rsid w:val="689B3E14"/>
    <w:rsid w:val="689B7663"/>
    <w:rsid w:val="689C5C1D"/>
    <w:rsid w:val="689D6F4C"/>
    <w:rsid w:val="689F2FA0"/>
    <w:rsid w:val="689F3EC0"/>
    <w:rsid w:val="68A02CE9"/>
    <w:rsid w:val="68A036C8"/>
    <w:rsid w:val="68A41350"/>
    <w:rsid w:val="68AB167E"/>
    <w:rsid w:val="68AD26AA"/>
    <w:rsid w:val="68AE2B22"/>
    <w:rsid w:val="68B54464"/>
    <w:rsid w:val="68BC14B0"/>
    <w:rsid w:val="68BC512A"/>
    <w:rsid w:val="68BF0078"/>
    <w:rsid w:val="68C04067"/>
    <w:rsid w:val="68C20D16"/>
    <w:rsid w:val="68CA4525"/>
    <w:rsid w:val="68D94717"/>
    <w:rsid w:val="68DD619B"/>
    <w:rsid w:val="68EC3A15"/>
    <w:rsid w:val="68ED69A7"/>
    <w:rsid w:val="68FD5593"/>
    <w:rsid w:val="69032565"/>
    <w:rsid w:val="690616DE"/>
    <w:rsid w:val="69073414"/>
    <w:rsid w:val="690C4501"/>
    <w:rsid w:val="690F6069"/>
    <w:rsid w:val="6911326A"/>
    <w:rsid w:val="69183F42"/>
    <w:rsid w:val="691B307E"/>
    <w:rsid w:val="691D4548"/>
    <w:rsid w:val="692B3BF3"/>
    <w:rsid w:val="692F1256"/>
    <w:rsid w:val="69301A1D"/>
    <w:rsid w:val="6934218F"/>
    <w:rsid w:val="693755A6"/>
    <w:rsid w:val="693C5AA5"/>
    <w:rsid w:val="693D00F1"/>
    <w:rsid w:val="693E13B7"/>
    <w:rsid w:val="69421566"/>
    <w:rsid w:val="69430240"/>
    <w:rsid w:val="694A6D5C"/>
    <w:rsid w:val="694C7D2C"/>
    <w:rsid w:val="695048C2"/>
    <w:rsid w:val="6951205B"/>
    <w:rsid w:val="6953741D"/>
    <w:rsid w:val="69552B47"/>
    <w:rsid w:val="6956014F"/>
    <w:rsid w:val="696F3842"/>
    <w:rsid w:val="69713E8B"/>
    <w:rsid w:val="69731101"/>
    <w:rsid w:val="6974083C"/>
    <w:rsid w:val="697D087B"/>
    <w:rsid w:val="69807B1E"/>
    <w:rsid w:val="698D012C"/>
    <w:rsid w:val="69992E3D"/>
    <w:rsid w:val="699F40EA"/>
    <w:rsid w:val="69A27EDD"/>
    <w:rsid w:val="69A71B52"/>
    <w:rsid w:val="69A7770D"/>
    <w:rsid w:val="69A966F8"/>
    <w:rsid w:val="69AC0B64"/>
    <w:rsid w:val="69B27491"/>
    <w:rsid w:val="69B27C94"/>
    <w:rsid w:val="69BA2288"/>
    <w:rsid w:val="69BB7CE2"/>
    <w:rsid w:val="69BF343C"/>
    <w:rsid w:val="69C25B29"/>
    <w:rsid w:val="69C82CA0"/>
    <w:rsid w:val="69D2134C"/>
    <w:rsid w:val="69D5264A"/>
    <w:rsid w:val="69D537ED"/>
    <w:rsid w:val="69DB7BB3"/>
    <w:rsid w:val="69DC3AC1"/>
    <w:rsid w:val="69E6402E"/>
    <w:rsid w:val="69E673F8"/>
    <w:rsid w:val="69EA6C64"/>
    <w:rsid w:val="69EB2120"/>
    <w:rsid w:val="69EE7718"/>
    <w:rsid w:val="69EF1603"/>
    <w:rsid w:val="69EF180F"/>
    <w:rsid w:val="69F00B35"/>
    <w:rsid w:val="69F03B82"/>
    <w:rsid w:val="69F10C55"/>
    <w:rsid w:val="69F224F8"/>
    <w:rsid w:val="69F3045E"/>
    <w:rsid w:val="69F3790F"/>
    <w:rsid w:val="6A036F5F"/>
    <w:rsid w:val="6A064BF7"/>
    <w:rsid w:val="6A121AB8"/>
    <w:rsid w:val="6A12415B"/>
    <w:rsid w:val="6A152CC8"/>
    <w:rsid w:val="6A172663"/>
    <w:rsid w:val="6A1D05D4"/>
    <w:rsid w:val="6A245089"/>
    <w:rsid w:val="6A25601C"/>
    <w:rsid w:val="6A262E47"/>
    <w:rsid w:val="6A2750C5"/>
    <w:rsid w:val="6A281BA5"/>
    <w:rsid w:val="6A290AA5"/>
    <w:rsid w:val="6A2A46CE"/>
    <w:rsid w:val="6A2C7141"/>
    <w:rsid w:val="6A2F521E"/>
    <w:rsid w:val="6A3A1167"/>
    <w:rsid w:val="6A3D030C"/>
    <w:rsid w:val="6A3F4FDB"/>
    <w:rsid w:val="6A4F4F6F"/>
    <w:rsid w:val="6A532FF6"/>
    <w:rsid w:val="6A5B0A88"/>
    <w:rsid w:val="6A601C8F"/>
    <w:rsid w:val="6A6A0FDF"/>
    <w:rsid w:val="6A7136BA"/>
    <w:rsid w:val="6A7174A5"/>
    <w:rsid w:val="6A72508F"/>
    <w:rsid w:val="6A732254"/>
    <w:rsid w:val="6A7711BA"/>
    <w:rsid w:val="6A774894"/>
    <w:rsid w:val="6A7C4E7D"/>
    <w:rsid w:val="6A7E274B"/>
    <w:rsid w:val="6A800FE2"/>
    <w:rsid w:val="6A80364F"/>
    <w:rsid w:val="6A89112C"/>
    <w:rsid w:val="6A8C3EFF"/>
    <w:rsid w:val="6A905626"/>
    <w:rsid w:val="6A916EED"/>
    <w:rsid w:val="6A930EAF"/>
    <w:rsid w:val="6A9371B0"/>
    <w:rsid w:val="6A937D23"/>
    <w:rsid w:val="6A960003"/>
    <w:rsid w:val="6A9925EE"/>
    <w:rsid w:val="6A9B5915"/>
    <w:rsid w:val="6A9B7735"/>
    <w:rsid w:val="6AA02774"/>
    <w:rsid w:val="6AA258AD"/>
    <w:rsid w:val="6AA41157"/>
    <w:rsid w:val="6AAB2AD1"/>
    <w:rsid w:val="6AAE5F36"/>
    <w:rsid w:val="6AAF2259"/>
    <w:rsid w:val="6AB45A03"/>
    <w:rsid w:val="6ABE4FFD"/>
    <w:rsid w:val="6ACC64C4"/>
    <w:rsid w:val="6AD902D6"/>
    <w:rsid w:val="6AD909E0"/>
    <w:rsid w:val="6ADC49EF"/>
    <w:rsid w:val="6ADD4FD8"/>
    <w:rsid w:val="6ADD71F3"/>
    <w:rsid w:val="6AE26C27"/>
    <w:rsid w:val="6AED013C"/>
    <w:rsid w:val="6AEE59AB"/>
    <w:rsid w:val="6AF159FF"/>
    <w:rsid w:val="6AF421E2"/>
    <w:rsid w:val="6AF57F3A"/>
    <w:rsid w:val="6AF63F29"/>
    <w:rsid w:val="6AFB7DF3"/>
    <w:rsid w:val="6AFE4F30"/>
    <w:rsid w:val="6B0A3D9B"/>
    <w:rsid w:val="6B0E002C"/>
    <w:rsid w:val="6B1E05E1"/>
    <w:rsid w:val="6B21318E"/>
    <w:rsid w:val="6B227A15"/>
    <w:rsid w:val="6B2833E7"/>
    <w:rsid w:val="6B285741"/>
    <w:rsid w:val="6B2A6098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1739E"/>
    <w:rsid w:val="6B6849C2"/>
    <w:rsid w:val="6B6C560D"/>
    <w:rsid w:val="6B705E52"/>
    <w:rsid w:val="6B735BFD"/>
    <w:rsid w:val="6B785D05"/>
    <w:rsid w:val="6B7F7BD7"/>
    <w:rsid w:val="6B846AF2"/>
    <w:rsid w:val="6B940783"/>
    <w:rsid w:val="6B95396B"/>
    <w:rsid w:val="6BAA2D23"/>
    <w:rsid w:val="6BAC0EF7"/>
    <w:rsid w:val="6BB90470"/>
    <w:rsid w:val="6BBB00B1"/>
    <w:rsid w:val="6BBD3E9D"/>
    <w:rsid w:val="6BC03721"/>
    <w:rsid w:val="6BC17B0B"/>
    <w:rsid w:val="6BC43438"/>
    <w:rsid w:val="6BC51A97"/>
    <w:rsid w:val="6BCC01D5"/>
    <w:rsid w:val="6BCF2DCA"/>
    <w:rsid w:val="6BD504D2"/>
    <w:rsid w:val="6BD52E14"/>
    <w:rsid w:val="6BDD0493"/>
    <w:rsid w:val="6BDE54AC"/>
    <w:rsid w:val="6BE068F6"/>
    <w:rsid w:val="6BE072B5"/>
    <w:rsid w:val="6BE40FB6"/>
    <w:rsid w:val="6BEA30F0"/>
    <w:rsid w:val="6BEA5C11"/>
    <w:rsid w:val="6BEC52EB"/>
    <w:rsid w:val="6BEE2C86"/>
    <w:rsid w:val="6BEE5C0E"/>
    <w:rsid w:val="6BF229CE"/>
    <w:rsid w:val="6BF25C39"/>
    <w:rsid w:val="6C06150E"/>
    <w:rsid w:val="6C1407B4"/>
    <w:rsid w:val="6C150C0B"/>
    <w:rsid w:val="6C155F31"/>
    <w:rsid w:val="6C206E21"/>
    <w:rsid w:val="6C263A06"/>
    <w:rsid w:val="6C265F77"/>
    <w:rsid w:val="6C3A624E"/>
    <w:rsid w:val="6C3F4795"/>
    <w:rsid w:val="6C431738"/>
    <w:rsid w:val="6C442E2D"/>
    <w:rsid w:val="6C4B106D"/>
    <w:rsid w:val="6C505966"/>
    <w:rsid w:val="6C5D04BB"/>
    <w:rsid w:val="6C624A50"/>
    <w:rsid w:val="6C65329A"/>
    <w:rsid w:val="6C666C3C"/>
    <w:rsid w:val="6C6833E1"/>
    <w:rsid w:val="6C726F5A"/>
    <w:rsid w:val="6C751A38"/>
    <w:rsid w:val="6C7707E9"/>
    <w:rsid w:val="6C882F2E"/>
    <w:rsid w:val="6C8E4315"/>
    <w:rsid w:val="6C9360FF"/>
    <w:rsid w:val="6C95615F"/>
    <w:rsid w:val="6C9C4317"/>
    <w:rsid w:val="6CA94419"/>
    <w:rsid w:val="6CB242A2"/>
    <w:rsid w:val="6CB92EE5"/>
    <w:rsid w:val="6CBB719C"/>
    <w:rsid w:val="6CC818AD"/>
    <w:rsid w:val="6CD944B7"/>
    <w:rsid w:val="6CE0612A"/>
    <w:rsid w:val="6CE269D3"/>
    <w:rsid w:val="6CE66441"/>
    <w:rsid w:val="6CEC448A"/>
    <w:rsid w:val="6CED284E"/>
    <w:rsid w:val="6CED3DB2"/>
    <w:rsid w:val="6CF04EB7"/>
    <w:rsid w:val="6CF17872"/>
    <w:rsid w:val="6CF76712"/>
    <w:rsid w:val="6CFD23D1"/>
    <w:rsid w:val="6D0240E7"/>
    <w:rsid w:val="6D033EFD"/>
    <w:rsid w:val="6D0652BF"/>
    <w:rsid w:val="6D0A7734"/>
    <w:rsid w:val="6D0B0E35"/>
    <w:rsid w:val="6D0D6D19"/>
    <w:rsid w:val="6D0D75B0"/>
    <w:rsid w:val="6D273B17"/>
    <w:rsid w:val="6D274676"/>
    <w:rsid w:val="6D2C096D"/>
    <w:rsid w:val="6D2D5212"/>
    <w:rsid w:val="6D2F4B50"/>
    <w:rsid w:val="6D334D48"/>
    <w:rsid w:val="6D374EDB"/>
    <w:rsid w:val="6D385ED1"/>
    <w:rsid w:val="6D3967DF"/>
    <w:rsid w:val="6D3B5F83"/>
    <w:rsid w:val="6D3C14B2"/>
    <w:rsid w:val="6D436625"/>
    <w:rsid w:val="6D4720E6"/>
    <w:rsid w:val="6D4A7F79"/>
    <w:rsid w:val="6D4B7436"/>
    <w:rsid w:val="6D500998"/>
    <w:rsid w:val="6D5679C6"/>
    <w:rsid w:val="6D59673E"/>
    <w:rsid w:val="6D5B2AAB"/>
    <w:rsid w:val="6D5D3D5C"/>
    <w:rsid w:val="6D5E64E8"/>
    <w:rsid w:val="6D621A21"/>
    <w:rsid w:val="6D652ED0"/>
    <w:rsid w:val="6D662717"/>
    <w:rsid w:val="6D663299"/>
    <w:rsid w:val="6D770FC8"/>
    <w:rsid w:val="6D790A31"/>
    <w:rsid w:val="6D7D5646"/>
    <w:rsid w:val="6D7D69B3"/>
    <w:rsid w:val="6D807862"/>
    <w:rsid w:val="6D811E5F"/>
    <w:rsid w:val="6D816186"/>
    <w:rsid w:val="6D8F5451"/>
    <w:rsid w:val="6D90338E"/>
    <w:rsid w:val="6D925740"/>
    <w:rsid w:val="6D9D3EE4"/>
    <w:rsid w:val="6D9E7C69"/>
    <w:rsid w:val="6DA71839"/>
    <w:rsid w:val="6DA84071"/>
    <w:rsid w:val="6DA86A73"/>
    <w:rsid w:val="6DB20233"/>
    <w:rsid w:val="6DB81D13"/>
    <w:rsid w:val="6DC54D30"/>
    <w:rsid w:val="6DC65806"/>
    <w:rsid w:val="6DCA2F8B"/>
    <w:rsid w:val="6DDF0294"/>
    <w:rsid w:val="6DE805F3"/>
    <w:rsid w:val="6DE9618F"/>
    <w:rsid w:val="6DED02CD"/>
    <w:rsid w:val="6DF07F1A"/>
    <w:rsid w:val="6DF6740D"/>
    <w:rsid w:val="6DF92BCB"/>
    <w:rsid w:val="6DFB06CC"/>
    <w:rsid w:val="6E035B81"/>
    <w:rsid w:val="6E0F0D37"/>
    <w:rsid w:val="6E0F320E"/>
    <w:rsid w:val="6E1058C0"/>
    <w:rsid w:val="6E112785"/>
    <w:rsid w:val="6E114B44"/>
    <w:rsid w:val="6E131686"/>
    <w:rsid w:val="6E163C98"/>
    <w:rsid w:val="6E1B4CD0"/>
    <w:rsid w:val="6E1C2489"/>
    <w:rsid w:val="6E1D776A"/>
    <w:rsid w:val="6E225993"/>
    <w:rsid w:val="6E2A0DD8"/>
    <w:rsid w:val="6E3552B0"/>
    <w:rsid w:val="6E35742E"/>
    <w:rsid w:val="6E3647E8"/>
    <w:rsid w:val="6E376A3A"/>
    <w:rsid w:val="6E3E181B"/>
    <w:rsid w:val="6E3F1C0F"/>
    <w:rsid w:val="6E484191"/>
    <w:rsid w:val="6E4E018F"/>
    <w:rsid w:val="6E4E0EC4"/>
    <w:rsid w:val="6E561494"/>
    <w:rsid w:val="6E56744B"/>
    <w:rsid w:val="6E567CD0"/>
    <w:rsid w:val="6E5C099F"/>
    <w:rsid w:val="6E606342"/>
    <w:rsid w:val="6E606731"/>
    <w:rsid w:val="6E633CB5"/>
    <w:rsid w:val="6E651C83"/>
    <w:rsid w:val="6E6E75D4"/>
    <w:rsid w:val="6E7106EF"/>
    <w:rsid w:val="6E72570E"/>
    <w:rsid w:val="6E734770"/>
    <w:rsid w:val="6E785A45"/>
    <w:rsid w:val="6E796FC0"/>
    <w:rsid w:val="6E7F4527"/>
    <w:rsid w:val="6E83317D"/>
    <w:rsid w:val="6E8B20DB"/>
    <w:rsid w:val="6E917497"/>
    <w:rsid w:val="6EA13305"/>
    <w:rsid w:val="6EAB29FB"/>
    <w:rsid w:val="6EB32B7F"/>
    <w:rsid w:val="6EB46F18"/>
    <w:rsid w:val="6EB63507"/>
    <w:rsid w:val="6EBD075D"/>
    <w:rsid w:val="6EBD4DFF"/>
    <w:rsid w:val="6EC23093"/>
    <w:rsid w:val="6EC23231"/>
    <w:rsid w:val="6EC310A5"/>
    <w:rsid w:val="6EC43237"/>
    <w:rsid w:val="6EC73357"/>
    <w:rsid w:val="6EC737C7"/>
    <w:rsid w:val="6ECA2727"/>
    <w:rsid w:val="6ED163C0"/>
    <w:rsid w:val="6ED266F7"/>
    <w:rsid w:val="6EE939F2"/>
    <w:rsid w:val="6EF22C5A"/>
    <w:rsid w:val="6F021829"/>
    <w:rsid w:val="6F08724A"/>
    <w:rsid w:val="6F1044C2"/>
    <w:rsid w:val="6F14289F"/>
    <w:rsid w:val="6F153E64"/>
    <w:rsid w:val="6F162C84"/>
    <w:rsid w:val="6F263789"/>
    <w:rsid w:val="6F28474F"/>
    <w:rsid w:val="6F350882"/>
    <w:rsid w:val="6F35635E"/>
    <w:rsid w:val="6F3713E9"/>
    <w:rsid w:val="6F384951"/>
    <w:rsid w:val="6F447F07"/>
    <w:rsid w:val="6F4876AF"/>
    <w:rsid w:val="6F4D0B69"/>
    <w:rsid w:val="6F537FC0"/>
    <w:rsid w:val="6F5E3CAA"/>
    <w:rsid w:val="6F5F4B14"/>
    <w:rsid w:val="6F607895"/>
    <w:rsid w:val="6F61040C"/>
    <w:rsid w:val="6F6776E1"/>
    <w:rsid w:val="6F6D2EDC"/>
    <w:rsid w:val="6F702CF5"/>
    <w:rsid w:val="6F714EFF"/>
    <w:rsid w:val="6F7929D2"/>
    <w:rsid w:val="6F7A0C79"/>
    <w:rsid w:val="6F7E1B78"/>
    <w:rsid w:val="6F967ACA"/>
    <w:rsid w:val="6F9A4660"/>
    <w:rsid w:val="6F9C5D71"/>
    <w:rsid w:val="6FA3781E"/>
    <w:rsid w:val="6FA9586A"/>
    <w:rsid w:val="6FAC61CF"/>
    <w:rsid w:val="6FAD768A"/>
    <w:rsid w:val="6FAF5C06"/>
    <w:rsid w:val="6FB32C37"/>
    <w:rsid w:val="6FB415FB"/>
    <w:rsid w:val="6FB51E4A"/>
    <w:rsid w:val="6FB7425E"/>
    <w:rsid w:val="6FB80EE8"/>
    <w:rsid w:val="6FC07769"/>
    <w:rsid w:val="6FC0781E"/>
    <w:rsid w:val="6FD36624"/>
    <w:rsid w:val="6FD86BFB"/>
    <w:rsid w:val="6FD964E5"/>
    <w:rsid w:val="6FDC6A2D"/>
    <w:rsid w:val="6FE53444"/>
    <w:rsid w:val="6FE76FE3"/>
    <w:rsid w:val="6FEE1369"/>
    <w:rsid w:val="6FF1528E"/>
    <w:rsid w:val="6FF561D1"/>
    <w:rsid w:val="6FFF10F4"/>
    <w:rsid w:val="700477C8"/>
    <w:rsid w:val="70065F3C"/>
    <w:rsid w:val="700C0460"/>
    <w:rsid w:val="701458A7"/>
    <w:rsid w:val="70146689"/>
    <w:rsid w:val="70152C7C"/>
    <w:rsid w:val="70170F2B"/>
    <w:rsid w:val="701830B7"/>
    <w:rsid w:val="701C3A0F"/>
    <w:rsid w:val="701E2FAB"/>
    <w:rsid w:val="70206C25"/>
    <w:rsid w:val="702267D2"/>
    <w:rsid w:val="70291A05"/>
    <w:rsid w:val="70370653"/>
    <w:rsid w:val="70385F59"/>
    <w:rsid w:val="70387A8F"/>
    <w:rsid w:val="70423736"/>
    <w:rsid w:val="70494AF1"/>
    <w:rsid w:val="704A6916"/>
    <w:rsid w:val="7054528E"/>
    <w:rsid w:val="70555B90"/>
    <w:rsid w:val="705E76BE"/>
    <w:rsid w:val="70680AC8"/>
    <w:rsid w:val="70684400"/>
    <w:rsid w:val="706D51B8"/>
    <w:rsid w:val="70712877"/>
    <w:rsid w:val="70737F32"/>
    <w:rsid w:val="70767F2C"/>
    <w:rsid w:val="70785A86"/>
    <w:rsid w:val="707E62BB"/>
    <w:rsid w:val="70871107"/>
    <w:rsid w:val="70910C43"/>
    <w:rsid w:val="70936BDF"/>
    <w:rsid w:val="70992BBC"/>
    <w:rsid w:val="709E4E34"/>
    <w:rsid w:val="709E640C"/>
    <w:rsid w:val="70A106DA"/>
    <w:rsid w:val="70A156F4"/>
    <w:rsid w:val="70A24763"/>
    <w:rsid w:val="70AC0E63"/>
    <w:rsid w:val="70AD5CCA"/>
    <w:rsid w:val="70AD6555"/>
    <w:rsid w:val="70AF55CD"/>
    <w:rsid w:val="70B56633"/>
    <w:rsid w:val="70BB0D3E"/>
    <w:rsid w:val="70C52734"/>
    <w:rsid w:val="70C84253"/>
    <w:rsid w:val="70CA126A"/>
    <w:rsid w:val="70CB6779"/>
    <w:rsid w:val="70CE384D"/>
    <w:rsid w:val="70CF3906"/>
    <w:rsid w:val="70D057EA"/>
    <w:rsid w:val="70D91094"/>
    <w:rsid w:val="70DB76EF"/>
    <w:rsid w:val="70DB7ADF"/>
    <w:rsid w:val="70DE085B"/>
    <w:rsid w:val="70E47264"/>
    <w:rsid w:val="70F04773"/>
    <w:rsid w:val="70F147D7"/>
    <w:rsid w:val="71017D80"/>
    <w:rsid w:val="71031632"/>
    <w:rsid w:val="710524E2"/>
    <w:rsid w:val="710B03C6"/>
    <w:rsid w:val="710C1678"/>
    <w:rsid w:val="710F2DDC"/>
    <w:rsid w:val="711604AB"/>
    <w:rsid w:val="712762EB"/>
    <w:rsid w:val="712D2ADB"/>
    <w:rsid w:val="712D4159"/>
    <w:rsid w:val="71346CB6"/>
    <w:rsid w:val="7136388E"/>
    <w:rsid w:val="713A1F62"/>
    <w:rsid w:val="713B0EA5"/>
    <w:rsid w:val="713E229B"/>
    <w:rsid w:val="714200B6"/>
    <w:rsid w:val="71431855"/>
    <w:rsid w:val="7143374A"/>
    <w:rsid w:val="7147738E"/>
    <w:rsid w:val="7148649A"/>
    <w:rsid w:val="714A6697"/>
    <w:rsid w:val="715117C4"/>
    <w:rsid w:val="71536701"/>
    <w:rsid w:val="71554E10"/>
    <w:rsid w:val="715D365A"/>
    <w:rsid w:val="715D7038"/>
    <w:rsid w:val="71606B8F"/>
    <w:rsid w:val="71636BC2"/>
    <w:rsid w:val="71676D13"/>
    <w:rsid w:val="716A160C"/>
    <w:rsid w:val="716B5F96"/>
    <w:rsid w:val="716C2775"/>
    <w:rsid w:val="716C65C5"/>
    <w:rsid w:val="716D67F7"/>
    <w:rsid w:val="716E08C5"/>
    <w:rsid w:val="71747EDF"/>
    <w:rsid w:val="7183292B"/>
    <w:rsid w:val="71890883"/>
    <w:rsid w:val="718B3A9F"/>
    <w:rsid w:val="71936186"/>
    <w:rsid w:val="71984CB3"/>
    <w:rsid w:val="71A535F8"/>
    <w:rsid w:val="71A5684D"/>
    <w:rsid w:val="71AE2BD5"/>
    <w:rsid w:val="71AF2F66"/>
    <w:rsid w:val="71B06996"/>
    <w:rsid w:val="71B0735B"/>
    <w:rsid w:val="71B31BCF"/>
    <w:rsid w:val="71B40CF8"/>
    <w:rsid w:val="71BA3B1E"/>
    <w:rsid w:val="71C061A0"/>
    <w:rsid w:val="71C2301C"/>
    <w:rsid w:val="71C45E90"/>
    <w:rsid w:val="71C46CB1"/>
    <w:rsid w:val="71C96C07"/>
    <w:rsid w:val="71CA2E75"/>
    <w:rsid w:val="71CD28DD"/>
    <w:rsid w:val="71CE06DE"/>
    <w:rsid w:val="71D00811"/>
    <w:rsid w:val="71D63DD1"/>
    <w:rsid w:val="71D774C5"/>
    <w:rsid w:val="71D8692F"/>
    <w:rsid w:val="71D97BBC"/>
    <w:rsid w:val="71DA7C5F"/>
    <w:rsid w:val="71DD0ACF"/>
    <w:rsid w:val="71DE4C74"/>
    <w:rsid w:val="71E10985"/>
    <w:rsid w:val="71E3397B"/>
    <w:rsid w:val="71E346E4"/>
    <w:rsid w:val="71E55F75"/>
    <w:rsid w:val="71E56A62"/>
    <w:rsid w:val="71E767FC"/>
    <w:rsid w:val="71EE60F6"/>
    <w:rsid w:val="71EF5D41"/>
    <w:rsid w:val="71F2174E"/>
    <w:rsid w:val="71F26295"/>
    <w:rsid w:val="71F64447"/>
    <w:rsid w:val="71FC70DF"/>
    <w:rsid w:val="720319CB"/>
    <w:rsid w:val="72056436"/>
    <w:rsid w:val="720979A0"/>
    <w:rsid w:val="720F633E"/>
    <w:rsid w:val="72130B93"/>
    <w:rsid w:val="721C688B"/>
    <w:rsid w:val="72200AF0"/>
    <w:rsid w:val="722E7DFE"/>
    <w:rsid w:val="723032E3"/>
    <w:rsid w:val="7235246C"/>
    <w:rsid w:val="723749D7"/>
    <w:rsid w:val="724219E5"/>
    <w:rsid w:val="72430835"/>
    <w:rsid w:val="724A1C04"/>
    <w:rsid w:val="724C2BE9"/>
    <w:rsid w:val="724D4B1D"/>
    <w:rsid w:val="724E54F1"/>
    <w:rsid w:val="7254202A"/>
    <w:rsid w:val="725D29D6"/>
    <w:rsid w:val="725E4102"/>
    <w:rsid w:val="726248F8"/>
    <w:rsid w:val="72632A3F"/>
    <w:rsid w:val="727334E4"/>
    <w:rsid w:val="72756082"/>
    <w:rsid w:val="72772DDB"/>
    <w:rsid w:val="72796D22"/>
    <w:rsid w:val="727B2E39"/>
    <w:rsid w:val="72805AF5"/>
    <w:rsid w:val="72817EEF"/>
    <w:rsid w:val="72827328"/>
    <w:rsid w:val="72827920"/>
    <w:rsid w:val="728B2CA4"/>
    <w:rsid w:val="728B509F"/>
    <w:rsid w:val="728C455D"/>
    <w:rsid w:val="728F0A31"/>
    <w:rsid w:val="72956B6B"/>
    <w:rsid w:val="729A297B"/>
    <w:rsid w:val="72A13C6B"/>
    <w:rsid w:val="72A310CE"/>
    <w:rsid w:val="72A60BAC"/>
    <w:rsid w:val="72AD212E"/>
    <w:rsid w:val="72AF09AE"/>
    <w:rsid w:val="72B23B41"/>
    <w:rsid w:val="72B307F0"/>
    <w:rsid w:val="72B751B8"/>
    <w:rsid w:val="72BE13CE"/>
    <w:rsid w:val="72BE6371"/>
    <w:rsid w:val="72BF25A6"/>
    <w:rsid w:val="72BF7D5A"/>
    <w:rsid w:val="72C221EC"/>
    <w:rsid w:val="72CE3184"/>
    <w:rsid w:val="72CE7D06"/>
    <w:rsid w:val="72CF40C2"/>
    <w:rsid w:val="72D456A5"/>
    <w:rsid w:val="72E70D52"/>
    <w:rsid w:val="72E85A7E"/>
    <w:rsid w:val="72EA6B66"/>
    <w:rsid w:val="72F17162"/>
    <w:rsid w:val="72F32F32"/>
    <w:rsid w:val="72FB32E0"/>
    <w:rsid w:val="72FB39EE"/>
    <w:rsid w:val="730235EB"/>
    <w:rsid w:val="7302733B"/>
    <w:rsid w:val="73036270"/>
    <w:rsid w:val="730469F7"/>
    <w:rsid w:val="7308249D"/>
    <w:rsid w:val="73134A36"/>
    <w:rsid w:val="731649D2"/>
    <w:rsid w:val="731C28E7"/>
    <w:rsid w:val="731F2440"/>
    <w:rsid w:val="7320175D"/>
    <w:rsid w:val="73254DFB"/>
    <w:rsid w:val="7326097A"/>
    <w:rsid w:val="73267BB8"/>
    <w:rsid w:val="732A4A9B"/>
    <w:rsid w:val="733202B6"/>
    <w:rsid w:val="73323775"/>
    <w:rsid w:val="73343997"/>
    <w:rsid w:val="73370B0A"/>
    <w:rsid w:val="733C723A"/>
    <w:rsid w:val="733C7C6A"/>
    <w:rsid w:val="73425DF8"/>
    <w:rsid w:val="734E1729"/>
    <w:rsid w:val="73510529"/>
    <w:rsid w:val="73574996"/>
    <w:rsid w:val="73576962"/>
    <w:rsid w:val="73594121"/>
    <w:rsid w:val="735C705A"/>
    <w:rsid w:val="736411CC"/>
    <w:rsid w:val="7368410A"/>
    <w:rsid w:val="73690216"/>
    <w:rsid w:val="736A02D8"/>
    <w:rsid w:val="736C1945"/>
    <w:rsid w:val="73814AA3"/>
    <w:rsid w:val="738744DD"/>
    <w:rsid w:val="73893467"/>
    <w:rsid w:val="738A36E1"/>
    <w:rsid w:val="73912A81"/>
    <w:rsid w:val="73970334"/>
    <w:rsid w:val="739B1EFF"/>
    <w:rsid w:val="73A16D22"/>
    <w:rsid w:val="73B001E3"/>
    <w:rsid w:val="73B1400F"/>
    <w:rsid w:val="73B4611E"/>
    <w:rsid w:val="73B7366A"/>
    <w:rsid w:val="73BA064C"/>
    <w:rsid w:val="73BB3C6E"/>
    <w:rsid w:val="73C40B89"/>
    <w:rsid w:val="73CE1997"/>
    <w:rsid w:val="73D260A7"/>
    <w:rsid w:val="73DB12EA"/>
    <w:rsid w:val="73DB45F5"/>
    <w:rsid w:val="73DD2FB8"/>
    <w:rsid w:val="73DD3CB3"/>
    <w:rsid w:val="73DE1AB7"/>
    <w:rsid w:val="73EC7C9D"/>
    <w:rsid w:val="73EE45A8"/>
    <w:rsid w:val="73EE6F0E"/>
    <w:rsid w:val="73F305B7"/>
    <w:rsid w:val="73F5257C"/>
    <w:rsid w:val="73F67B1C"/>
    <w:rsid w:val="73F8258B"/>
    <w:rsid w:val="73FF2CB2"/>
    <w:rsid w:val="7401034F"/>
    <w:rsid w:val="7407051F"/>
    <w:rsid w:val="740C0741"/>
    <w:rsid w:val="740E71A7"/>
    <w:rsid w:val="741076D1"/>
    <w:rsid w:val="74115578"/>
    <w:rsid w:val="74141C1A"/>
    <w:rsid w:val="74163CEE"/>
    <w:rsid w:val="74215D04"/>
    <w:rsid w:val="74257C35"/>
    <w:rsid w:val="742A0965"/>
    <w:rsid w:val="742D019C"/>
    <w:rsid w:val="742D6DB6"/>
    <w:rsid w:val="742E6655"/>
    <w:rsid w:val="742E74D7"/>
    <w:rsid w:val="744642D9"/>
    <w:rsid w:val="74522D94"/>
    <w:rsid w:val="7467225C"/>
    <w:rsid w:val="746B086B"/>
    <w:rsid w:val="746B2FD5"/>
    <w:rsid w:val="746C430C"/>
    <w:rsid w:val="746D6628"/>
    <w:rsid w:val="74712155"/>
    <w:rsid w:val="74775754"/>
    <w:rsid w:val="74782A8C"/>
    <w:rsid w:val="747C7F5F"/>
    <w:rsid w:val="747F0E23"/>
    <w:rsid w:val="74964674"/>
    <w:rsid w:val="749D5800"/>
    <w:rsid w:val="74A63A12"/>
    <w:rsid w:val="74A73312"/>
    <w:rsid w:val="74A739B2"/>
    <w:rsid w:val="74B06962"/>
    <w:rsid w:val="74B32215"/>
    <w:rsid w:val="74BC7516"/>
    <w:rsid w:val="74C0607C"/>
    <w:rsid w:val="74C46840"/>
    <w:rsid w:val="74CF4657"/>
    <w:rsid w:val="74D575AA"/>
    <w:rsid w:val="74D63C4F"/>
    <w:rsid w:val="74D71DDE"/>
    <w:rsid w:val="74D95703"/>
    <w:rsid w:val="74DA7956"/>
    <w:rsid w:val="74E11F86"/>
    <w:rsid w:val="74FB509B"/>
    <w:rsid w:val="74FB6035"/>
    <w:rsid w:val="74FF07F1"/>
    <w:rsid w:val="7501571B"/>
    <w:rsid w:val="7502618E"/>
    <w:rsid w:val="75056699"/>
    <w:rsid w:val="7507587E"/>
    <w:rsid w:val="75086859"/>
    <w:rsid w:val="750934A8"/>
    <w:rsid w:val="750A15E4"/>
    <w:rsid w:val="750C76FA"/>
    <w:rsid w:val="751E29FC"/>
    <w:rsid w:val="752B3381"/>
    <w:rsid w:val="75325694"/>
    <w:rsid w:val="7534402F"/>
    <w:rsid w:val="75376E15"/>
    <w:rsid w:val="753B454F"/>
    <w:rsid w:val="753D6B7D"/>
    <w:rsid w:val="75441B17"/>
    <w:rsid w:val="75457EFF"/>
    <w:rsid w:val="7554481F"/>
    <w:rsid w:val="75594581"/>
    <w:rsid w:val="755A35FA"/>
    <w:rsid w:val="755A5494"/>
    <w:rsid w:val="75625A16"/>
    <w:rsid w:val="7564200E"/>
    <w:rsid w:val="75663FD1"/>
    <w:rsid w:val="75677137"/>
    <w:rsid w:val="75696461"/>
    <w:rsid w:val="756F19B6"/>
    <w:rsid w:val="757540E3"/>
    <w:rsid w:val="757D2DDE"/>
    <w:rsid w:val="758F201D"/>
    <w:rsid w:val="75904ECF"/>
    <w:rsid w:val="75912385"/>
    <w:rsid w:val="759739B3"/>
    <w:rsid w:val="75991C4A"/>
    <w:rsid w:val="75994792"/>
    <w:rsid w:val="759A05AB"/>
    <w:rsid w:val="759A4930"/>
    <w:rsid w:val="759B02AD"/>
    <w:rsid w:val="759B0C43"/>
    <w:rsid w:val="759B5CAF"/>
    <w:rsid w:val="75A53BC6"/>
    <w:rsid w:val="75BB549C"/>
    <w:rsid w:val="75C123A7"/>
    <w:rsid w:val="75C1550C"/>
    <w:rsid w:val="75C525B4"/>
    <w:rsid w:val="75CA4550"/>
    <w:rsid w:val="75CC74C8"/>
    <w:rsid w:val="75CD2584"/>
    <w:rsid w:val="75D1230F"/>
    <w:rsid w:val="75D15DCD"/>
    <w:rsid w:val="75D357A7"/>
    <w:rsid w:val="75DA5FC8"/>
    <w:rsid w:val="75DB08A6"/>
    <w:rsid w:val="75DB5FA1"/>
    <w:rsid w:val="75E1357A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3356"/>
    <w:rsid w:val="762D70E7"/>
    <w:rsid w:val="7630359D"/>
    <w:rsid w:val="76337691"/>
    <w:rsid w:val="763B42FB"/>
    <w:rsid w:val="763D17BB"/>
    <w:rsid w:val="763D4BE9"/>
    <w:rsid w:val="763F1F92"/>
    <w:rsid w:val="76424474"/>
    <w:rsid w:val="76437632"/>
    <w:rsid w:val="76451CD6"/>
    <w:rsid w:val="76451E5F"/>
    <w:rsid w:val="76452780"/>
    <w:rsid w:val="764B66A1"/>
    <w:rsid w:val="764D66D2"/>
    <w:rsid w:val="764F7670"/>
    <w:rsid w:val="7650794E"/>
    <w:rsid w:val="76526C65"/>
    <w:rsid w:val="76557EC3"/>
    <w:rsid w:val="76587361"/>
    <w:rsid w:val="765F0FBA"/>
    <w:rsid w:val="766314AA"/>
    <w:rsid w:val="76671958"/>
    <w:rsid w:val="76674D6A"/>
    <w:rsid w:val="76690632"/>
    <w:rsid w:val="766E0B9F"/>
    <w:rsid w:val="766F546C"/>
    <w:rsid w:val="767469E2"/>
    <w:rsid w:val="76775F0B"/>
    <w:rsid w:val="767A76A8"/>
    <w:rsid w:val="767E2DAC"/>
    <w:rsid w:val="76894819"/>
    <w:rsid w:val="768B6B92"/>
    <w:rsid w:val="768C5C8C"/>
    <w:rsid w:val="768D57E3"/>
    <w:rsid w:val="768F7736"/>
    <w:rsid w:val="76932317"/>
    <w:rsid w:val="76A53B61"/>
    <w:rsid w:val="76A56649"/>
    <w:rsid w:val="76A56898"/>
    <w:rsid w:val="76A652D8"/>
    <w:rsid w:val="76A81E8A"/>
    <w:rsid w:val="76AF378A"/>
    <w:rsid w:val="76B153BA"/>
    <w:rsid w:val="76BE7B18"/>
    <w:rsid w:val="76BF40F9"/>
    <w:rsid w:val="76C72CA0"/>
    <w:rsid w:val="76CD7B46"/>
    <w:rsid w:val="76CF5DCE"/>
    <w:rsid w:val="76D02C26"/>
    <w:rsid w:val="76D63C26"/>
    <w:rsid w:val="76E36B6A"/>
    <w:rsid w:val="76ED0EF4"/>
    <w:rsid w:val="76EF7937"/>
    <w:rsid w:val="76F2295F"/>
    <w:rsid w:val="76F50A9F"/>
    <w:rsid w:val="76F54B72"/>
    <w:rsid w:val="76FA2A7D"/>
    <w:rsid w:val="76FC1359"/>
    <w:rsid w:val="76FD2D1D"/>
    <w:rsid w:val="77062DA9"/>
    <w:rsid w:val="770D756F"/>
    <w:rsid w:val="770F088C"/>
    <w:rsid w:val="77164C28"/>
    <w:rsid w:val="771865D9"/>
    <w:rsid w:val="77187F65"/>
    <w:rsid w:val="771C46CE"/>
    <w:rsid w:val="77284F7D"/>
    <w:rsid w:val="7729766A"/>
    <w:rsid w:val="772D35A6"/>
    <w:rsid w:val="772D3786"/>
    <w:rsid w:val="773A62B8"/>
    <w:rsid w:val="77422DC5"/>
    <w:rsid w:val="7743723B"/>
    <w:rsid w:val="77451EB6"/>
    <w:rsid w:val="77490C6C"/>
    <w:rsid w:val="774B3934"/>
    <w:rsid w:val="774D0C35"/>
    <w:rsid w:val="774D47BD"/>
    <w:rsid w:val="775352E9"/>
    <w:rsid w:val="77551F00"/>
    <w:rsid w:val="775B4F33"/>
    <w:rsid w:val="77646225"/>
    <w:rsid w:val="77650E66"/>
    <w:rsid w:val="77653866"/>
    <w:rsid w:val="77665075"/>
    <w:rsid w:val="77687254"/>
    <w:rsid w:val="776A53C0"/>
    <w:rsid w:val="776F458B"/>
    <w:rsid w:val="77721E49"/>
    <w:rsid w:val="777B5F51"/>
    <w:rsid w:val="777D53E6"/>
    <w:rsid w:val="777E1FE2"/>
    <w:rsid w:val="777F7D93"/>
    <w:rsid w:val="778067C2"/>
    <w:rsid w:val="77847A56"/>
    <w:rsid w:val="77884DA5"/>
    <w:rsid w:val="778C5286"/>
    <w:rsid w:val="778F0D7D"/>
    <w:rsid w:val="778F49BD"/>
    <w:rsid w:val="77916819"/>
    <w:rsid w:val="77966F4C"/>
    <w:rsid w:val="779A317D"/>
    <w:rsid w:val="779D7890"/>
    <w:rsid w:val="779E1756"/>
    <w:rsid w:val="779E309B"/>
    <w:rsid w:val="77A31525"/>
    <w:rsid w:val="77A47BCA"/>
    <w:rsid w:val="77A75021"/>
    <w:rsid w:val="77B4796D"/>
    <w:rsid w:val="77B8689C"/>
    <w:rsid w:val="77BC7D3E"/>
    <w:rsid w:val="77BD5A24"/>
    <w:rsid w:val="77BE4F12"/>
    <w:rsid w:val="77C2510C"/>
    <w:rsid w:val="77C42326"/>
    <w:rsid w:val="77C833A2"/>
    <w:rsid w:val="77C86879"/>
    <w:rsid w:val="77D21E05"/>
    <w:rsid w:val="77D26B27"/>
    <w:rsid w:val="77E568E3"/>
    <w:rsid w:val="77E746B2"/>
    <w:rsid w:val="77EB5A0F"/>
    <w:rsid w:val="77EE19D2"/>
    <w:rsid w:val="77EF4577"/>
    <w:rsid w:val="77F62755"/>
    <w:rsid w:val="77F62779"/>
    <w:rsid w:val="77F82ED8"/>
    <w:rsid w:val="77F92249"/>
    <w:rsid w:val="78036043"/>
    <w:rsid w:val="780F6F82"/>
    <w:rsid w:val="781164D0"/>
    <w:rsid w:val="7813374F"/>
    <w:rsid w:val="781616FD"/>
    <w:rsid w:val="781838FF"/>
    <w:rsid w:val="781A21DD"/>
    <w:rsid w:val="781A5E54"/>
    <w:rsid w:val="781B3886"/>
    <w:rsid w:val="782466AD"/>
    <w:rsid w:val="782A738E"/>
    <w:rsid w:val="782B4FB4"/>
    <w:rsid w:val="78306028"/>
    <w:rsid w:val="78316382"/>
    <w:rsid w:val="78326BCF"/>
    <w:rsid w:val="78355626"/>
    <w:rsid w:val="783643C3"/>
    <w:rsid w:val="78375EBD"/>
    <w:rsid w:val="783A01F4"/>
    <w:rsid w:val="784151EC"/>
    <w:rsid w:val="784563AF"/>
    <w:rsid w:val="78480067"/>
    <w:rsid w:val="7849196F"/>
    <w:rsid w:val="78591903"/>
    <w:rsid w:val="785B65FF"/>
    <w:rsid w:val="785D1993"/>
    <w:rsid w:val="785D73A1"/>
    <w:rsid w:val="785E356A"/>
    <w:rsid w:val="78620E7C"/>
    <w:rsid w:val="78683A2C"/>
    <w:rsid w:val="787659AD"/>
    <w:rsid w:val="788446BE"/>
    <w:rsid w:val="78862765"/>
    <w:rsid w:val="7888219B"/>
    <w:rsid w:val="78883E95"/>
    <w:rsid w:val="78887070"/>
    <w:rsid w:val="788908C8"/>
    <w:rsid w:val="78942734"/>
    <w:rsid w:val="78945931"/>
    <w:rsid w:val="78993306"/>
    <w:rsid w:val="78A04E20"/>
    <w:rsid w:val="78A36BF5"/>
    <w:rsid w:val="78A561F3"/>
    <w:rsid w:val="78A953B7"/>
    <w:rsid w:val="78AB3452"/>
    <w:rsid w:val="78B0117B"/>
    <w:rsid w:val="78B706A3"/>
    <w:rsid w:val="78B744F1"/>
    <w:rsid w:val="78B84528"/>
    <w:rsid w:val="78B91C9F"/>
    <w:rsid w:val="78BC539D"/>
    <w:rsid w:val="78C134B0"/>
    <w:rsid w:val="78C1373F"/>
    <w:rsid w:val="78C448EB"/>
    <w:rsid w:val="78C64CC0"/>
    <w:rsid w:val="78C67D14"/>
    <w:rsid w:val="78C67F88"/>
    <w:rsid w:val="78C9689B"/>
    <w:rsid w:val="78CD3535"/>
    <w:rsid w:val="78D97F0E"/>
    <w:rsid w:val="78DA009A"/>
    <w:rsid w:val="78DC2FA9"/>
    <w:rsid w:val="78DD4939"/>
    <w:rsid w:val="78E062D1"/>
    <w:rsid w:val="78EB1C8F"/>
    <w:rsid w:val="78ED2BD0"/>
    <w:rsid w:val="78F277DF"/>
    <w:rsid w:val="78F40C87"/>
    <w:rsid w:val="78F57D87"/>
    <w:rsid w:val="78F60513"/>
    <w:rsid w:val="78F66B5A"/>
    <w:rsid w:val="78F81DAC"/>
    <w:rsid w:val="78FC7FC2"/>
    <w:rsid w:val="79042DE3"/>
    <w:rsid w:val="79090259"/>
    <w:rsid w:val="790D08D2"/>
    <w:rsid w:val="790D0BF3"/>
    <w:rsid w:val="790D4F70"/>
    <w:rsid w:val="790D7FE6"/>
    <w:rsid w:val="791474A8"/>
    <w:rsid w:val="79176206"/>
    <w:rsid w:val="79193B81"/>
    <w:rsid w:val="791C7612"/>
    <w:rsid w:val="79213934"/>
    <w:rsid w:val="79221399"/>
    <w:rsid w:val="792329CB"/>
    <w:rsid w:val="792378FC"/>
    <w:rsid w:val="792C23E8"/>
    <w:rsid w:val="7930058A"/>
    <w:rsid w:val="793248F9"/>
    <w:rsid w:val="79350D11"/>
    <w:rsid w:val="79351894"/>
    <w:rsid w:val="79404763"/>
    <w:rsid w:val="7940572D"/>
    <w:rsid w:val="794353F6"/>
    <w:rsid w:val="79442CA1"/>
    <w:rsid w:val="79461391"/>
    <w:rsid w:val="79474814"/>
    <w:rsid w:val="79492AA1"/>
    <w:rsid w:val="794B4D74"/>
    <w:rsid w:val="79501475"/>
    <w:rsid w:val="79524043"/>
    <w:rsid w:val="795A5499"/>
    <w:rsid w:val="796E35F2"/>
    <w:rsid w:val="7971290E"/>
    <w:rsid w:val="79756908"/>
    <w:rsid w:val="79762768"/>
    <w:rsid w:val="797900A9"/>
    <w:rsid w:val="797951A9"/>
    <w:rsid w:val="797C0892"/>
    <w:rsid w:val="798118A3"/>
    <w:rsid w:val="798C57FA"/>
    <w:rsid w:val="798E4989"/>
    <w:rsid w:val="7990174F"/>
    <w:rsid w:val="799537B4"/>
    <w:rsid w:val="799A4E91"/>
    <w:rsid w:val="79A02BCA"/>
    <w:rsid w:val="79A15149"/>
    <w:rsid w:val="79A37CCA"/>
    <w:rsid w:val="79A71C2E"/>
    <w:rsid w:val="79A74BCA"/>
    <w:rsid w:val="79A75AAF"/>
    <w:rsid w:val="79A8657B"/>
    <w:rsid w:val="79AE39E9"/>
    <w:rsid w:val="79B57356"/>
    <w:rsid w:val="79BD3E41"/>
    <w:rsid w:val="79BF2784"/>
    <w:rsid w:val="79C0597A"/>
    <w:rsid w:val="79C24EDF"/>
    <w:rsid w:val="79C66717"/>
    <w:rsid w:val="79C876AF"/>
    <w:rsid w:val="79C95AED"/>
    <w:rsid w:val="79D62785"/>
    <w:rsid w:val="79DF1EBA"/>
    <w:rsid w:val="79E07F61"/>
    <w:rsid w:val="79E12ED9"/>
    <w:rsid w:val="79E352FF"/>
    <w:rsid w:val="79E9023D"/>
    <w:rsid w:val="79ED6701"/>
    <w:rsid w:val="79EE7E8E"/>
    <w:rsid w:val="79F30A3A"/>
    <w:rsid w:val="79F934E7"/>
    <w:rsid w:val="79FB2D0B"/>
    <w:rsid w:val="7A027298"/>
    <w:rsid w:val="7A052E17"/>
    <w:rsid w:val="7A097B67"/>
    <w:rsid w:val="7A0F1525"/>
    <w:rsid w:val="7A10389D"/>
    <w:rsid w:val="7A157806"/>
    <w:rsid w:val="7A200921"/>
    <w:rsid w:val="7A245751"/>
    <w:rsid w:val="7A262C2D"/>
    <w:rsid w:val="7A291938"/>
    <w:rsid w:val="7A303F52"/>
    <w:rsid w:val="7A3C7419"/>
    <w:rsid w:val="7A3D7CC0"/>
    <w:rsid w:val="7A4006D3"/>
    <w:rsid w:val="7A4801BB"/>
    <w:rsid w:val="7A485CE1"/>
    <w:rsid w:val="7A491EF3"/>
    <w:rsid w:val="7A4D07BA"/>
    <w:rsid w:val="7A5863D3"/>
    <w:rsid w:val="7A5C5FAF"/>
    <w:rsid w:val="7A634604"/>
    <w:rsid w:val="7A64499E"/>
    <w:rsid w:val="7A6656B6"/>
    <w:rsid w:val="7A665F09"/>
    <w:rsid w:val="7A6C3449"/>
    <w:rsid w:val="7A711BBA"/>
    <w:rsid w:val="7A723F72"/>
    <w:rsid w:val="7A743D9C"/>
    <w:rsid w:val="7A7B2C10"/>
    <w:rsid w:val="7A7C3632"/>
    <w:rsid w:val="7A7D4128"/>
    <w:rsid w:val="7A7E70A2"/>
    <w:rsid w:val="7A8075BA"/>
    <w:rsid w:val="7A820760"/>
    <w:rsid w:val="7A87742E"/>
    <w:rsid w:val="7A9123B7"/>
    <w:rsid w:val="7A935AE2"/>
    <w:rsid w:val="7A9711EE"/>
    <w:rsid w:val="7A9A1B33"/>
    <w:rsid w:val="7A9B74B6"/>
    <w:rsid w:val="7A9C3E5C"/>
    <w:rsid w:val="7A9D1CEF"/>
    <w:rsid w:val="7AA16CBD"/>
    <w:rsid w:val="7AA23B78"/>
    <w:rsid w:val="7AA5277A"/>
    <w:rsid w:val="7AA6700D"/>
    <w:rsid w:val="7AA952CF"/>
    <w:rsid w:val="7AAE678B"/>
    <w:rsid w:val="7AB07C78"/>
    <w:rsid w:val="7AB514B2"/>
    <w:rsid w:val="7AB83F3A"/>
    <w:rsid w:val="7ACA29DF"/>
    <w:rsid w:val="7ACD2D7F"/>
    <w:rsid w:val="7AD27B42"/>
    <w:rsid w:val="7AD3781C"/>
    <w:rsid w:val="7AD53EC1"/>
    <w:rsid w:val="7AD62573"/>
    <w:rsid w:val="7AD84E14"/>
    <w:rsid w:val="7ADB474B"/>
    <w:rsid w:val="7ADB7F1A"/>
    <w:rsid w:val="7ADE0439"/>
    <w:rsid w:val="7AE55787"/>
    <w:rsid w:val="7AE833BC"/>
    <w:rsid w:val="7AF91DAF"/>
    <w:rsid w:val="7AF9607E"/>
    <w:rsid w:val="7B0072B4"/>
    <w:rsid w:val="7B0211AC"/>
    <w:rsid w:val="7B0C08EF"/>
    <w:rsid w:val="7B150090"/>
    <w:rsid w:val="7B18546A"/>
    <w:rsid w:val="7B1B467F"/>
    <w:rsid w:val="7B1E73DE"/>
    <w:rsid w:val="7B1F59AA"/>
    <w:rsid w:val="7B214978"/>
    <w:rsid w:val="7B391012"/>
    <w:rsid w:val="7B394905"/>
    <w:rsid w:val="7B3E674E"/>
    <w:rsid w:val="7B426E9D"/>
    <w:rsid w:val="7B471906"/>
    <w:rsid w:val="7B4A5781"/>
    <w:rsid w:val="7B4C03D4"/>
    <w:rsid w:val="7B4E09BF"/>
    <w:rsid w:val="7B546C0C"/>
    <w:rsid w:val="7B603C7C"/>
    <w:rsid w:val="7B6171E6"/>
    <w:rsid w:val="7B6452CE"/>
    <w:rsid w:val="7B65590F"/>
    <w:rsid w:val="7B6E2AB1"/>
    <w:rsid w:val="7B736B52"/>
    <w:rsid w:val="7B771CED"/>
    <w:rsid w:val="7B7C1A5E"/>
    <w:rsid w:val="7B841287"/>
    <w:rsid w:val="7B8D07A1"/>
    <w:rsid w:val="7B8E3D02"/>
    <w:rsid w:val="7B901B0B"/>
    <w:rsid w:val="7B9422CC"/>
    <w:rsid w:val="7B9E7675"/>
    <w:rsid w:val="7BA0581E"/>
    <w:rsid w:val="7BA22D26"/>
    <w:rsid w:val="7BA521BC"/>
    <w:rsid w:val="7BA53B6F"/>
    <w:rsid w:val="7BA63294"/>
    <w:rsid w:val="7BAA2B37"/>
    <w:rsid w:val="7BAB7079"/>
    <w:rsid w:val="7BB145C1"/>
    <w:rsid w:val="7BB2241E"/>
    <w:rsid w:val="7BB37F9E"/>
    <w:rsid w:val="7BBD1B11"/>
    <w:rsid w:val="7BC17EBE"/>
    <w:rsid w:val="7BC212EB"/>
    <w:rsid w:val="7BC43666"/>
    <w:rsid w:val="7BC81295"/>
    <w:rsid w:val="7BC8293C"/>
    <w:rsid w:val="7BC87053"/>
    <w:rsid w:val="7BD01BA1"/>
    <w:rsid w:val="7BD13894"/>
    <w:rsid w:val="7BD64EE8"/>
    <w:rsid w:val="7BDC009C"/>
    <w:rsid w:val="7BDE0174"/>
    <w:rsid w:val="7BDF18E6"/>
    <w:rsid w:val="7BE131F6"/>
    <w:rsid w:val="7BEE6A15"/>
    <w:rsid w:val="7BF11348"/>
    <w:rsid w:val="7BF542FE"/>
    <w:rsid w:val="7BFF0642"/>
    <w:rsid w:val="7C025EFA"/>
    <w:rsid w:val="7C05243A"/>
    <w:rsid w:val="7C056E44"/>
    <w:rsid w:val="7C0E7D8C"/>
    <w:rsid w:val="7C206952"/>
    <w:rsid w:val="7C2D1C60"/>
    <w:rsid w:val="7C306953"/>
    <w:rsid w:val="7C3832F5"/>
    <w:rsid w:val="7C42281E"/>
    <w:rsid w:val="7C472DAB"/>
    <w:rsid w:val="7C550FEC"/>
    <w:rsid w:val="7C574C21"/>
    <w:rsid w:val="7C5F4D1F"/>
    <w:rsid w:val="7C602BD0"/>
    <w:rsid w:val="7C610C91"/>
    <w:rsid w:val="7C613AEC"/>
    <w:rsid w:val="7C6271F4"/>
    <w:rsid w:val="7C655448"/>
    <w:rsid w:val="7C6E7E2C"/>
    <w:rsid w:val="7C734075"/>
    <w:rsid w:val="7C7468D9"/>
    <w:rsid w:val="7C764182"/>
    <w:rsid w:val="7C773CA6"/>
    <w:rsid w:val="7C815D2A"/>
    <w:rsid w:val="7C831756"/>
    <w:rsid w:val="7C8348FB"/>
    <w:rsid w:val="7C8C4CAB"/>
    <w:rsid w:val="7C982736"/>
    <w:rsid w:val="7C9A2FA3"/>
    <w:rsid w:val="7C9E5A24"/>
    <w:rsid w:val="7CA3583F"/>
    <w:rsid w:val="7CA67728"/>
    <w:rsid w:val="7CAE7576"/>
    <w:rsid w:val="7CB027DF"/>
    <w:rsid w:val="7CB2364E"/>
    <w:rsid w:val="7CB271E9"/>
    <w:rsid w:val="7CB62523"/>
    <w:rsid w:val="7CC3397C"/>
    <w:rsid w:val="7CCA5583"/>
    <w:rsid w:val="7CCE6E72"/>
    <w:rsid w:val="7CCF1812"/>
    <w:rsid w:val="7CD72F9B"/>
    <w:rsid w:val="7CDF394D"/>
    <w:rsid w:val="7CE146B6"/>
    <w:rsid w:val="7CE238A1"/>
    <w:rsid w:val="7CE65C11"/>
    <w:rsid w:val="7CE70935"/>
    <w:rsid w:val="7CE95686"/>
    <w:rsid w:val="7CF31FF6"/>
    <w:rsid w:val="7CF84A31"/>
    <w:rsid w:val="7CFC44C2"/>
    <w:rsid w:val="7CFF1C44"/>
    <w:rsid w:val="7CFF28B4"/>
    <w:rsid w:val="7D013B39"/>
    <w:rsid w:val="7D060FAD"/>
    <w:rsid w:val="7D0826CA"/>
    <w:rsid w:val="7D0D06E5"/>
    <w:rsid w:val="7D130509"/>
    <w:rsid w:val="7D1946C0"/>
    <w:rsid w:val="7D1D7FE9"/>
    <w:rsid w:val="7D1F25D4"/>
    <w:rsid w:val="7D292A41"/>
    <w:rsid w:val="7D2A5CCB"/>
    <w:rsid w:val="7D377B94"/>
    <w:rsid w:val="7D401CAA"/>
    <w:rsid w:val="7D4E195B"/>
    <w:rsid w:val="7D515EFA"/>
    <w:rsid w:val="7D5431B0"/>
    <w:rsid w:val="7D552AEA"/>
    <w:rsid w:val="7D635C6D"/>
    <w:rsid w:val="7D64087E"/>
    <w:rsid w:val="7D642C85"/>
    <w:rsid w:val="7D69117D"/>
    <w:rsid w:val="7D696CB2"/>
    <w:rsid w:val="7D6B4608"/>
    <w:rsid w:val="7D6F06CE"/>
    <w:rsid w:val="7D7A555A"/>
    <w:rsid w:val="7D7F5298"/>
    <w:rsid w:val="7D8362BA"/>
    <w:rsid w:val="7D8B7B11"/>
    <w:rsid w:val="7D9F0F7A"/>
    <w:rsid w:val="7DA843EE"/>
    <w:rsid w:val="7DA948C4"/>
    <w:rsid w:val="7DAB10BD"/>
    <w:rsid w:val="7DAF4AB4"/>
    <w:rsid w:val="7DBA65F9"/>
    <w:rsid w:val="7DBE609A"/>
    <w:rsid w:val="7DBF2E7A"/>
    <w:rsid w:val="7DBF4FA6"/>
    <w:rsid w:val="7DC266E0"/>
    <w:rsid w:val="7DC4279D"/>
    <w:rsid w:val="7DCA054D"/>
    <w:rsid w:val="7DCC7A63"/>
    <w:rsid w:val="7DD7657D"/>
    <w:rsid w:val="7DDA6C39"/>
    <w:rsid w:val="7DE15552"/>
    <w:rsid w:val="7DE16744"/>
    <w:rsid w:val="7DE653AB"/>
    <w:rsid w:val="7DE71438"/>
    <w:rsid w:val="7DEB2C44"/>
    <w:rsid w:val="7DED0633"/>
    <w:rsid w:val="7DF464FC"/>
    <w:rsid w:val="7DFE63E1"/>
    <w:rsid w:val="7E006A11"/>
    <w:rsid w:val="7E043ED9"/>
    <w:rsid w:val="7E104623"/>
    <w:rsid w:val="7E1C55F3"/>
    <w:rsid w:val="7E202566"/>
    <w:rsid w:val="7E222965"/>
    <w:rsid w:val="7E293001"/>
    <w:rsid w:val="7E2D6A9A"/>
    <w:rsid w:val="7E2E7D3F"/>
    <w:rsid w:val="7E2F1D57"/>
    <w:rsid w:val="7E330B2F"/>
    <w:rsid w:val="7E347694"/>
    <w:rsid w:val="7E3B5911"/>
    <w:rsid w:val="7E452536"/>
    <w:rsid w:val="7E495416"/>
    <w:rsid w:val="7E497873"/>
    <w:rsid w:val="7E4A44B6"/>
    <w:rsid w:val="7E4C09C1"/>
    <w:rsid w:val="7E4C7986"/>
    <w:rsid w:val="7E523F24"/>
    <w:rsid w:val="7E570488"/>
    <w:rsid w:val="7E573082"/>
    <w:rsid w:val="7E593C4C"/>
    <w:rsid w:val="7E646894"/>
    <w:rsid w:val="7E712F31"/>
    <w:rsid w:val="7E73403B"/>
    <w:rsid w:val="7E750E81"/>
    <w:rsid w:val="7E760C9A"/>
    <w:rsid w:val="7E761EFC"/>
    <w:rsid w:val="7E79060D"/>
    <w:rsid w:val="7E7E2B41"/>
    <w:rsid w:val="7E8D3E75"/>
    <w:rsid w:val="7E9044A6"/>
    <w:rsid w:val="7E922E52"/>
    <w:rsid w:val="7EA10518"/>
    <w:rsid w:val="7EA37537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53087"/>
    <w:rsid w:val="7EE92EC4"/>
    <w:rsid w:val="7EEB1AD7"/>
    <w:rsid w:val="7EEC4A0C"/>
    <w:rsid w:val="7EEF5C7E"/>
    <w:rsid w:val="7EF06DAD"/>
    <w:rsid w:val="7EF24F07"/>
    <w:rsid w:val="7EF34983"/>
    <w:rsid w:val="7EF624E9"/>
    <w:rsid w:val="7EFA4392"/>
    <w:rsid w:val="7EFC56FC"/>
    <w:rsid w:val="7F050405"/>
    <w:rsid w:val="7F057503"/>
    <w:rsid w:val="7F0715DA"/>
    <w:rsid w:val="7F085E6E"/>
    <w:rsid w:val="7F090A0E"/>
    <w:rsid w:val="7F0C0396"/>
    <w:rsid w:val="7F0F0634"/>
    <w:rsid w:val="7F111CB1"/>
    <w:rsid w:val="7F11316C"/>
    <w:rsid w:val="7F160CCE"/>
    <w:rsid w:val="7F18438A"/>
    <w:rsid w:val="7F233D48"/>
    <w:rsid w:val="7F2618F3"/>
    <w:rsid w:val="7F314300"/>
    <w:rsid w:val="7F340461"/>
    <w:rsid w:val="7F35713F"/>
    <w:rsid w:val="7F3757D3"/>
    <w:rsid w:val="7F3A2780"/>
    <w:rsid w:val="7F3A44DE"/>
    <w:rsid w:val="7F3A7611"/>
    <w:rsid w:val="7F3B01C9"/>
    <w:rsid w:val="7F45445C"/>
    <w:rsid w:val="7F4A17F6"/>
    <w:rsid w:val="7F536DE1"/>
    <w:rsid w:val="7F6339F7"/>
    <w:rsid w:val="7F7851E2"/>
    <w:rsid w:val="7F7E49B6"/>
    <w:rsid w:val="7F8403DB"/>
    <w:rsid w:val="7F8660CD"/>
    <w:rsid w:val="7F8A2E2C"/>
    <w:rsid w:val="7F963419"/>
    <w:rsid w:val="7F98528E"/>
    <w:rsid w:val="7FA069EC"/>
    <w:rsid w:val="7FA11DE1"/>
    <w:rsid w:val="7FB351E6"/>
    <w:rsid w:val="7FB422D4"/>
    <w:rsid w:val="7FCE5F2D"/>
    <w:rsid w:val="7FD277AE"/>
    <w:rsid w:val="7FDA2CD0"/>
    <w:rsid w:val="7FDB769F"/>
    <w:rsid w:val="7FE60FE4"/>
    <w:rsid w:val="7FEC3961"/>
    <w:rsid w:val="7FEC7AE0"/>
    <w:rsid w:val="7FEE568F"/>
    <w:rsid w:val="7FEF3E84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4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8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8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9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7"/>
    <w:qFormat/>
    <w:uiPriority w:val="0"/>
    <w:pPr>
      <w:tabs>
        <w:tab w:val="left" w:pos="2144"/>
        <w:tab w:val="left" w:pos="2288"/>
      </w:tabs>
      <w:ind w:left="2288" w:hanging="1152"/>
      <w:outlineLvl w:val="5"/>
    </w:pPr>
  </w:style>
  <w:style w:type="paragraph" w:styleId="9">
    <w:name w:val="heading 7"/>
    <w:basedOn w:val="1"/>
    <w:next w:val="1"/>
    <w:link w:val="83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69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71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caption"/>
    <w:basedOn w:val="1"/>
    <w:next w:val="1"/>
    <w:link w:val="73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3">
    <w:name w:val="Document Map"/>
    <w:basedOn w:val="1"/>
    <w:link w:val="82"/>
    <w:unhideWhenUsed/>
    <w:qFormat/>
    <w:uiPriority w:val="99"/>
    <w:rPr>
      <w:rFonts w:ascii="宋体"/>
      <w:kern w:val="0"/>
      <w:sz w:val="18"/>
      <w:szCs w:val="18"/>
    </w:rPr>
  </w:style>
  <w:style w:type="paragraph" w:styleId="14">
    <w:name w:val="annotation text"/>
    <w:basedOn w:val="1"/>
    <w:link w:val="91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76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6">
    <w:name w:val="Balloon Text"/>
    <w:basedOn w:val="1"/>
    <w:link w:val="79"/>
    <w:unhideWhenUsed/>
    <w:qFormat/>
    <w:uiPriority w:val="99"/>
    <w:rPr>
      <w:sz w:val="18"/>
      <w:szCs w:val="18"/>
    </w:rPr>
  </w:style>
  <w:style w:type="paragraph" w:styleId="17">
    <w:name w:val="footer"/>
    <w:basedOn w:val="1"/>
    <w:link w:val="85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8">
    <w:name w:val="header"/>
    <w:basedOn w:val="1"/>
    <w:link w:val="8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9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20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2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3">
    <w:name w:val="index 2"/>
    <w:basedOn w:val="22"/>
    <w:next w:val="1"/>
    <w:semiHidden/>
    <w:qFormat/>
    <w:uiPriority w:val="0"/>
    <w:pPr>
      <w:ind w:left="284"/>
    </w:pPr>
  </w:style>
  <w:style w:type="paragraph" w:styleId="24">
    <w:name w:val="annotation subject"/>
    <w:basedOn w:val="14"/>
    <w:next w:val="14"/>
    <w:link w:val="86"/>
    <w:unhideWhenUsed/>
    <w:qFormat/>
    <w:uiPriority w:val="99"/>
    <w:rPr>
      <w:b/>
      <w:bCs/>
    </w:rPr>
  </w:style>
  <w:style w:type="table" w:styleId="26">
    <w:name w:val="Table Grid"/>
    <w:basedOn w:val="2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9">
    <w:name w:val="page number"/>
    <w:basedOn w:val="27"/>
    <w:semiHidden/>
    <w:qFormat/>
    <w:uiPriority w:val="0"/>
  </w:style>
  <w:style w:type="character" w:styleId="30">
    <w:name w:val="Emphasis"/>
    <w:qFormat/>
    <w:uiPriority w:val="20"/>
    <w:rPr>
      <w:color w:val="CC0000"/>
    </w:rPr>
  </w:style>
  <w:style w:type="character" w:styleId="31">
    <w:name w:val="Hyperlink"/>
    <w:basedOn w:val="27"/>
    <w:qFormat/>
    <w:uiPriority w:val="0"/>
    <w:rPr>
      <w:color w:val="0000FF"/>
      <w:u w:val="single"/>
    </w:rPr>
  </w:style>
  <w:style w:type="character" w:styleId="32">
    <w:name w:val="annotation reference"/>
    <w:unhideWhenUsed/>
    <w:qFormat/>
    <w:uiPriority w:val="99"/>
    <w:rPr>
      <w:sz w:val="16"/>
      <w:szCs w:val="16"/>
    </w:rPr>
  </w:style>
  <w:style w:type="character" w:styleId="33">
    <w:name w:val="HTML Cite"/>
    <w:unhideWhenUsed/>
    <w:qFormat/>
    <w:uiPriority w:val="99"/>
    <w:rPr>
      <w:color w:val="008000"/>
    </w:rPr>
  </w:style>
  <w:style w:type="paragraph" w:customStyle="1" w:styleId="34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5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6">
    <w:name w:val="List Paragraph"/>
    <w:basedOn w:val="1"/>
    <w:qFormat/>
    <w:uiPriority w:val="34"/>
    <w:pPr>
      <w:ind w:firstLine="420" w:firstLineChars="200"/>
    </w:pPr>
  </w:style>
  <w:style w:type="paragraph" w:customStyle="1" w:styleId="37">
    <w:name w:val="TAH"/>
    <w:basedOn w:val="38"/>
    <w:link w:val="62"/>
    <w:qFormat/>
    <w:uiPriority w:val="99"/>
    <w:rPr>
      <w:b/>
    </w:rPr>
  </w:style>
  <w:style w:type="paragraph" w:customStyle="1" w:styleId="38">
    <w:name w:val="TAC"/>
    <w:basedOn w:val="39"/>
    <w:link w:val="77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9">
    <w:name w:val="TAL"/>
    <w:basedOn w:val="1"/>
    <w:link w:val="66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40">
    <w:name w:val="正文1"/>
    <w:basedOn w:val="1"/>
    <w:link w:val="63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1">
    <w:name w:val="char char char"/>
    <w:basedOn w:val="40"/>
    <w:link w:val="80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2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3">
    <w:name w:val="NO"/>
    <w:basedOn w:val="1"/>
    <w:link w:val="6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6">
    <w:name w:val="Table_title"/>
    <w:basedOn w:val="1"/>
    <w:next w:val="34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7">
    <w:name w:val="TH"/>
    <w:basedOn w:val="1"/>
    <w:link w:val="75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8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9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50">
    <w:name w:val="TAN"/>
    <w:basedOn w:val="1"/>
    <w:link w:val="59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51">
    <w:name w:val="TF"/>
    <w:basedOn w:val="47"/>
    <w:qFormat/>
    <w:uiPriority w:val="0"/>
    <w:pPr>
      <w:keepNext w:val="0"/>
      <w:spacing w:before="0" w:after="240"/>
    </w:pPr>
  </w:style>
  <w:style w:type="paragraph" w:customStyle="1" w:styleId="52">
    <w:name w:val="B1"/>
    <w:basedOn w:val="19"/>
    <w:link w:val="58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3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4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5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6">
    <w:name w:val="char char"/>
    <w:basedOn w:val="40"/>
    <w:link w:val="72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7">
    <w:name w:val="Char"/>
    <w:basedOn w:val="36"/>
    <w:link w:val="74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8">
    <w:name w:val="B1 Char"/>
    <w:link w:val="52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9">
    <w:name w:val="TAN Char"/>
    <w:link w:val="50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60">
    <w:name w:val="默认段落字体1"/>
    <w:qFormat/>
    <w:uiPriority w:val="0"/>
  </w:style>
  <w:style w:type="character" w:customStyle="1" w:styleId="61">
    <w:name w:val="NO Char"/>
    <w:link w:val="43"/>
    <w:qFormat/>
    <w:uiPriority w:val="0"/>
    <w:rPr>
      <w:rFonts w:ascii="Times New Roman" w:hAnsi="Times New Roman" w:eastAsia="Times New Roman"/>
      <w:lang w:val="en-GB"/>
    </w:rPr>
  </w:style>
  <w:style w:type="character" w:customStyle="1" w:styleId="62">
    <w:name w:val="TAH Car"/>
    <w:link w:val="37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3">
    <w:name w:val="正文1 Char"/>
    <w:link w:val="40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4">
    <w:name w:val="keyword"/>
    <w:basedOn w:val="27"/>
    <w:qFormat/>
    <w:uiPriority w:val="0"/>
  </w:style>
  <w:style w:type="character" w:customStyle="1" w:styleId="65">
    <w:name w:val="c-icon"/>
    <w:basedOn w:val="27"/>
    <w:qFormat/>
    <w:uiPriority w:val="0"/>
  </w:style>
  <w:style w:type="character" w:customStyle="1" w:styleId="66">
    <w:name w:val="TAL Char"/>
    <w:link w:val="39"/>
    <w:qFormat/>
    <w:uiPriority w:val="0"/>
    <w:rPr>
      <w:rFonts w:ascii="Arial" w:hAnsi="Arial"/>
      <w:sz w:val="18"/>
      <w:lang w:val="en-GB" w:eastAsia="en-US"/>
    </w:rPr>
  </w:style>
  <w:style w:type="character" w:customStyle="1" w:styleId="67">
    <w:name w:val="标题 6 字符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8">
    <w:name w:val="c-icon14"/>
    <w:basedOn w:val="27"/>
    <w:qFormat/>
    <w:uiPriority w:val="0"/>
  </w:style>
  <w:style w:type="character" w:customStyle="1" w:styleId="69">
    <w:name w:val="标题 8 字符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0">
    <w:name w:val="op_dict_text2"/>
    <w:basedOn w:val="27"/>
    <w:qFormat/>
    <w:uiPriority w:val="0"/>
  </w:style>
  <w:style w:type="character" w:customStyle="1" w:styleId="71">
    <w:name w:val="标题 9 字符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2">
    <w:name w:val="char char Char"/>
    <w:link w:val="56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3">
    <w:name w:val="题注 字符"/>
    <w:link w:val="12"/>
    <w:qFormat/>
    <w:uiPriority w:val="0"/>
    <w:rPr>
      <w:rFonts w:ascii="Arial" w:hAnsi="Arial" w:eastAsia="黑体"/>
    </w:rPr>
  </w:style>
  <w:style w:type="character" w:customStyle="1" w:styleId="74">
    <w:name w:val="Char Char"/>
    <w:link w:val="57"/>
    <w:qFormat/>
    <w:uiPriority w:val="0"/>
    <w:rPr>
      <w:rFonts w:ascii="Arial" w:hAnsi="Arial"/>
      <w:sz w:val="32"/>
      <w:szCs w:val="36"/>
    </w:rPr>
  </w:style>
  <w:style w:type="character" w:customStyle="1" w:styleId="75">
    <w:name w:val="TH Char"/>
    <w:link w:val="47"/>
    <w:qFormat/>
    <w:uiPriority w:val="0"/>
    <w:rPr>
      <w:rFonts w:ascii="Arial" w:hAnsi="Arial" w:eastAsia="宋体"/>
      <w:b/>
      <w:bCs/>
      <w:lang w:val="en-GB"/>
    </w:rPr>
  </w:style>
  <w:style w:type="character" w:customStyle="1" w:styleId="76">
    <w:name w:val="正文文本 字符"/>
    <w:link w:val="1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7">
    <w:name w:val="TAC Char"/>
    <w:basedOn w:val="27"/>
    <w:link w:val="38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8">
    <w:name w:val="标题 4 字符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9">
    <w:name w:val="批注框文本 字符"/>
    <w:link w:val="16"/>
    <w:semiHidden/>
    <w:qFormat/>
    <w:uiPriority w:val="99"/>
    <w:rPr>
      <w:kern w:val="2"/>
      <w:sz w:val="18"/>
      <w:szCs w:val="18"/>
    </w:rPr>
  </w:style>
  <w:style w:type="character" w:customStyle="1" w:styleId="80">
    <w:name w:val="char char char Char"/>
    <w:link w:val="41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81">
    <w:name w:val="页眉 字符"/>
    <w:link w:val="18"/>
    <w:qFormat/>
    <w:uiPriority w:val="99"/>
    <w:rPr>
      <w:sz w:val="18"/>
      <w:szCs w:val="18"/>
    </w:rPr>
  </w:style>
  <w:style w:type="character" w:customStyle="1" w:styleId="82">
    <w:name w:val="文档结构图 字符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83">
    <w:name w:val="标题 7 字符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4">
    <w:name w:val="标题 1 字符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5">
    <w:name w:val="页脚 字符"/>
    <w:link w:val="17"/>
    <w:qFormat/>
    <w:uiPriority w:val="99"/>
    <w:rPr>
      <w:sz w:val="18"/>
      <w:szCs w:val="18"/>
    </w:rPr>
  </w:style>
  <w:style w:type="character" w:customStyle="1" w:styleId="86">
    <w:name w:val="批注主题 字符"/>
    <w:link w:val="24"/>
    <w:semiHidden/>
    <w:qFormat/>
    <w:uiPriority w:val="99"/>
    <w:rPr>
      <w:b/>
      <w:bCs/>
      <w:kern w:val="2"/>
      <w:lang w:eastAsia="zh-CN"/>
    </w:rPr>
  </w:style>
  <w:style w:type="character" w:customStyle="1" w:styleId="87">
    <w:name w:val="msoins"/>
    <w:basedOn w:val="27"/>
    <w:qFormat/>
    <w:uiPriority w:val="0"/>
  </w:style>
  <w:style w:type="character" w:customStyle="1" w:styleId="88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9">
    <w:name w:val="标题 5 字符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90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1">
    <w:name w:val="批注文字 字符"/>
    <w:link w:val="14"/>
    <w:semiHidden/>
    <w:qFormat/>
    <w:uiPriority w:val="99"/>
    <w:rPr>
      <w:kern w:val="2"/>
      <w:lang w:eastAsia="zh-CN"/>
    </w:rPr>
  </w:style>
  <w:style w:type="character" w:customStyle="1" w:styleId="92">
    <w:name w:val="op_dict3_lineone_result_tip"/>
    <w:qFormat/>
    <w:uiPriority w:val="0"/>
    <w:rPr>
      <w:color w:val="999999"/>
    </w:rPr>
  </w:style>
  <w:style w:type="character" w:styleId="93">
    <w:name w:val="Placeholder Text"/>
    <w:basedOn w:val="27"/>
    <w:semiHidden/>
    <w:qFormat/>
    <w:uiPriority w:val="99"/>
    <w:rPr>
      <w:color w:val="808080"/>
    </w:rPr>
  </w:style>
  <w:style w:type="paragraph" w:customStyle="1" w:styleId="94">
    <w:name w:val="3GPP Normal Text"/>
    <w:basedOn w:val="1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5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6">
    <w:name w:val="eop"/>
    <w:basedOn w:val="27"/>
    <w:qFormat/>
    <w:uiPriority w:val="0"/>
  </w:style>
  <w:style w:type="character" w:customStyle="1" w:styleId="97">
    <w:name w:val="href"/>
    <w:basedOn w:val="27"/>
    <w:qFormat/>
    <w:uiPriority w:val="0"/>
  </w:style>
  <w:style w:type="paragraph" w:customStyle="1" w:styleId="98">
    <w:name w:val="List Paragraph1"/>
    <w:basedOn w:val="1"/>
    <w:qFormat/>
    <w:uiPriority w:val="0"/>
    <w:pPr>
      <w:widowControl/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jc w:val="left"/>
      <w:textAlignment w:val="baseline"/>
    </w:pPr>
    <w:rPr>
      <w:rFonts w:eastAsia="MS Mincho"/>
      <w:kern w:val="0"/>
      <w:sz w:val="24"/>
    </w:rPr>
  </w:style>
  <w:style w:type="character" w:customStyle="1" w:styleId="99">
    <w:name w:val="15"/>
    <w:basedOn w:val="27"/>
    <w:qFormat/>
    <w:uiPriority w:val="0"/>
    <w:rPr>
      <w:rFonts w:hint="default" w:ascii="Times New Roman" w:hAnsi="Times New Roman" w:cs="Times New Roman"/>
    </w:rPr>
  </w:style>
  <w:style w:type="paragraph" w:customStyle="1" w:styleId="100">
    <w:name w:val="Normal_after_title"/>
    <w:basedOn w:val="1"/>
    <w:next w:val="1"/>
    <w:qFormat/>
    <w:uiPriority w:val="0"/>
    <w:pPr>
      <w:tabs>
        <w:tab w:val="left" w:pos="1134"/>
        <w:tab w:val="left" w:pos="1871"/>
        <w:tab w:val="left" w:pos="2268"/>
      </w:tabs>
      <w:spacing w:before="360"/>
    </w:pPr>
  </w:style>
  <w:style w:type="paragraph" w:customStyle="1" w:styleId="101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102">
    <w:name w:val="Intelsat"/>
    <w:basedOn w:val="1"/>
    <w:next w:val="1"/>
    <w:qFormat/>
    <w:uiPriority w:val="0"/>
    <w:rPr>
      <w:rFonts w:ascii="Arial Nova" w:hAnsi="Arial Nova"/>
      <w:iCs/>
      <w:color w:val="00B0F0"/>
      <w:lang w:val="fr-FR"/>
    </w:rPr>
  </w:style>
  <w:style w:type="paragraph" w:customStyle="1" w:styleId="103">
    <w:name w:val="Annex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paragraph" w:customStyle="1" w:styleId="104">
    <w:name w:val="Annex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paragraph" w:customStyle="1" w:styleId="105">
    <w:name w:val="Table_legend"/>
    <w:basedOn w:val="1"/>
    <w:qFormat/>
    <w:uiPriority w:val="0"/>
    <w:pPr>
      <w:tabs>
        <w:tab w:val="left" w:pos="284"/>
        <w:tab w:val="left" w:pos="1134"/>
        <w:tab w:val="left" w:pos="1871"/>
        <w:tab w:val="left" w:pos="2268"/>
      </w:tabs>
      <w:spacing w:before="40" w:after="40"/>
    </w:pPr>
    <w:rPr>
      <w:sz w:val="18"/>
      <w:lang w:eastAsia="en-US"/>
    </w:rPr>
  </w:style>
  <w:style w:type="paragraph" w:customStyle="1" w:styleId="106">
    <w:name w:val="Table_fin"/>
    <w:basedOn w:val="1"/>
    <w:qFormat/>
    <w:uiPriority w:val="0"/>
    <w:pPr>
      <w:tabs>
        <w:tab w:val="left" w:pos="1134"/>
        <w:tab w:val="left" w:pos="1871"/>
        <w:tab w:val="left" w:pos="2268"/>
      </w:tabs>
      <w:suppressAutoHyphens/>
      <w:adjustRightInd/>
      <w:spacing w:after="0"/>
    </w:pPr>
    <w:rPr>
      <w:rFonts w:eastAsia="Batang"/>
      <w:lang w:val="en-US" w:eastAsia="zh-CN"/>
    </w:rPr>
  </w:style>
  <w:style w:type="table" w:customStyle="1" w:styleId="107">
    <w:name w:val="Tabellengitternetz1"/>
    <w:basedOn w:val="25"/>
    <w:qFormat/>
    <w:uiPriority w:val="0"/>
    <w:rPr>
      <w:rFonts w:eastAsia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8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15D19-70BA-420D-A3D6-F544135D1E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10</Pages>
  <Words>1727</Words>
  <Characters>9846</Characters>
  <Lines>82</Lines>
  <Paragraphs>23</Paragraphs>
  <TotalTime>1</TotalTime>
  <ScaleCrop>false</ScaleCrop>
  <LinksUpToDate>false</LinksUpToDate>
  <CharactersWithSpaces>11550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 Fei</cp:lastModifiedBy>
  <dcterms:modified xsi:type="dcterms:W3CDTF">2024-05-13T15:04:40Z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3DE02747E95945BA9E75CB7C9FF17B32</vt:lpwstr>
  </property>
</Properties>
</file>